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C84" w:rsidRPr="007C1C84" w:rsidRDefault="007C1C84" w:rsidP="007C1C84">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7C1C84">
        <w:rPr>
          <w:rFonts w:ascii="Arial" w:eastAsia="Times New Roman" w:hAnsi="Arial" w:cs="Arial"/>
          <w:b/>
          <w:bCs/>
          <w:sz w:val="27"/>
          <w:szCs w:val="27"/>
          <w:lang w:eastAsia="es-ES"/>
        </w:rPr>
        <w:t xml:space="preserve">19jun08 </w:t>
      </w:r>
    </w:p>
    <w:p w:rsidR="007C1C84" w:rsidRPr="007C1C84" w:rsidRDefault="00DF7B82" w:rsidP="007C1C84">
      <w:pPr>
        <w:spacing w:after="0" w:line="240" w:lineRule="auto"/>
        <w:rPr>
          <w:rFonts w:ascii="Times New Roman" w:eastAsia="Times New Roman" w:hAnsi="Times New Roman" w:cs="Times New Roman"/>
          <w:sz w:val="24"/>
          <w:szCs w:val="24"/>
          <w:lang w:eastAsia="es-ES"/>
        </w:rPr>
      </w:pPr>
      <w:r w:rsidRPr="00DF7B82">
        <w:rPr>
          <w:rFonts w:ascii="Times New Roman" w:eastAsia="Times New Roman" w:hAnsi="Times New Roman" w:cs="Times New Roman"/>
          <w:sz w:val="24"/>
          <w:szCs w:val="24"/>
          <w:lang w:eastAsia="es-ES"/>
        </w:rPr>
        <w:pict>
          <v:rect id="_x0000_i1025" style="width:0;height:1.5pt" o:hralign="center" o:hrstd="t" o:hr="t" fillcolor="#aca899" stroked="f"/>
        </w:pict>
      </w:r>
    </w:p>
    <w:p w:rsidR="007C1C84" w:rsidRPr="007C1C84" w:rsidRDefault="007C1C84" w:rsidP="007C1C84">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ES"/>
        </w:rPr>
      </w:pPr>
      <w:r w:rsidRPr="007C1C84">
        <w:rPr>
          <w:rFonts w:ascii="Arial" w:eastAsia="Times New Roman" w:hAnsi="Arial" w:cs="Arial"/>
          <w:b/>
          <w:bCs/>
          <w:sz w:val="36"/>
          <w:szCs w:val="36"/>
          <w:lang w:eastAsia="es-ES"/>
        </w:rPr>
        <w:t xml:space="preserve">Texto de la querella penal contra cuatro ex </w:t>
      </w:r>
      <w:r w:rsidRPr="007C1C84">
        <w:rPr>
          <w:rFonts w:ascii="Arial" w:eastAsia="Times New Roman" w:hAnsi="Arial" w:cs="Arial"/>
          <w:b/>
          <w:bCs/>
          <w:i/>
          <w:iCs/>
          <w:sz w:val="36"/>
          <w:szCs w:val="36"/>
          <w:lang w:eastAsia="es-ES"/>
        </w:rPr>
        <w:t xml:space="preserve">SS </w:t>
      </w:r>
      <w:proofErr w:type="spellStart"/>
      <w:r w:rsidRPr="007C1C84">
        <w:rPr>
          <w:rFonts w:ascii="Arial" w:eastAsia="Times New Roman" w:hAnsi="Arial" w:cs="Arial"/>
          <w:b/>
          <w:bCs/>
          <w:i/>
          <w:iCs/>
          <w:sz w:val="36"/>
          <w:szCs w:val="36"/>
          <w:lang w:eastAsia="es-ES"/>
        </w:rPr>
        <w:t>Totenkopf</w:t>
      </w:r>
      <w:proofErr w:type="spellEnd"/>
      <w:r w:rsidRPr="007C1C84">
        <w:rPr>
          <w:rFonts w:ascii="Arial" w:eastAsia="Times New Roman" w:hAnsi="Arial" w:cs="Arial"/>
          <w:b/>
          <w:bCs/>
          <w:sz w:val="36"/>
          <w:szCs w:val="36"/>
          <w:lang w:eastAsia="es-ES"/>
        </w:rPr>
        <w:t xml:space="preserve"> que actuaron en campos de concentración nacionalsocialistas donde hubo víctimas españolas. </w:t>
      </w:r>
    </w:p>
    <w:p w:rsidR="007C1C84" w:rsidRPr="007C1C84" w:rsidRDefault="00DF7B82" w:rsidP="007C1C84">
      <w:pPr>
        <w:spacing w:after="0" w:line="240" w:lineRule="auto"/>
        <w:rPr>
          <w:rFonts w:ascii="Times New Roman" w:eastAsia="Times New Roman" w:hAnsi="Times New Roman" w:cs="Times New Roman"/>
          <w:sz w:val="24"/>
          <w:szCs w:val="24"/>
          <w:lang w:eastAsia="es-ES"/>
        </w:rPr>
      </w:pPr>
      <w:r w:rsidRPr="00DF7B82">
        <w:rPr>
          <w:rFonts w:ascii="Times New Roman" w:eastAsia="Times New Roman" w:hAnsi="Times New Roman" w:cs="Times New Roman"/>
          <w:sz w:val="24"/>
          <w:szCs w:val="24"/>
          <w:lang w:eastAsia="es-ES"/>
        </w:rPr>
        <w:pict>
          <v:rect id="_x0000_i1026" style="width:0;height:1.5pt" o:hralign="center" o:hrstd="t" o:hr="t" fillcolor="#aca899" stroked="f"/>
        </w:pic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b/>
          <w:bCs/>
          <w:sz w:val="24"/>
          <w:szCs w:val="24"/>
          <w:lang w:eastAsia="es-ES"/>
        </w:rPr>
        <w:t>Índice:</w:t>
      </w:r>
      <w:r w:rsidRPr="007C1C84">
        <w:rPr>
          <w:rFonts w:ascii="Arial" w:eastAsia="Times New Roman" w:hAnsi="Arial" w:cs="Arial"/>
          <w:sz w:val="24"/>
          <w:szCs w:val="24"/>
          <w:lang w:eastAsia="es-ES"/>
        </w:rPr>
        <w:t xml:space="preserve"> </w:t>
      </w:r>
    </w:p>
    <w:p w:rsidR="007C1C84" w:rsidRPr="007C1C84" w:rsidRDefault="00DF7B82" w:rsidP="007C1C84">
      <w:pPr>
        <w:spacing w:before="100" w:beforeAutospacing="1" w:after="100" w:afterAutospacing="1" w:line="240" w:lineRule="auto"/>
        <w:rPr>
          <w:rFonts w:ascii="Times New Roman" w:eastAsia="Times New Roman" w:hAnsi="Times New Roman" w:cs="Times New Roman"/>
          <w:sz w:val="24"/>
          <w:szCs w:val="24"/>
          <w:lang w:eastAsia="es-ES"/>
        </w:rPr>
      </w:pPr>
      <w:hyperlink r:id="rId5" w:anchor="HECHOS" w:history="1">
        <w:r w:rsidR="007C1C84" w:rsidRPr="007C1C84">
          <w:rPr>
            <w:rFonts w:ascii="Arial" w:eastAsia="Times New Roman" w:hAnsi="Arial" w:cs="Arial"/>
            <w:b/>
            <w:bCs/>
            <w:color w:val="0000FF"/>
            <w:sz w:val="20"/>
            <w:u w:val="single"/>
            <w:lang w:eastAsia="es-ES"/>
          </w:rPr>
          <w:t>I.- HECHOS</w:t>
        </w:r>
      </w:hyperlink>
      <w:r w:rsidR="007C1C84" w:rsidRPr="007C1C84">
        <w:rPr>
          <w:rFonts w:ascii="Arial" w:eastAsia="Times New Roman" w:hAnsi="Arial" w:cs="Arial"/>
          <w:b/>
          <w:bCs/>
          <w:sz w:val="20"/>
          <w:szCs w:val="20"/>
          <w:lang w:eastAsia="es-ES"/>
        </w:rPr>
        <w:t>:</w:t>
      </w:r>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ind w:left="720"/>
        <w:rPr>
          <w:rFonts w:ascii="Times New Roman" w:eastAsia="Times New Roman" w:hAnsi="Times New Roman" w:cs="Times New Roman"/>
          <w:sz w:val="24"/>
          <w:szCs w:val="24"/>
          <w:lang w:eastAsia="es-ES"/>
        </w:rPr>
      </w:pPr>
      <w:hyperlink r:id="rId6" w:anchor="I.1." w:history="1">
        <w:r w:rsidR="007C1C84" w:rsidRPr="007C1C84">
          <w:rPr>
            <w:rFonts w:ascii="Arial" w:eastAsia="Times New Roman" w:hAnsi="Arial" w:cs="Arial"/>
            <w:color w:val="0000FF"/>
            <w:sz w:val="20"/>
            <w:u w:val="single"/>
            <w:lang w:eastAsia="es-ES"/>
          </w:rPr>
          <w:t xml:space="preserve">I.1.- La existencia de víctimas españolas en los campos de concentración nacional-socialistas de </w:t>
        </w:r>
        <w:proofErr w:type="spellStart"/>
        <w:r w:rsidR="007C1C84" w:rsidRPr="007C1C84">
          <w:rPr>
            <w:rFonts w:ascii="Arial" w:eastAsia="Times New Roman" w:hAnsi="Arial" w:cs="Arial"/>
            <w:color w:val="0000FF"/>
            <w:sz w:val="20"/>
            <w:u w:val="single"/>
            <w:lang w:eastAsia="es-ES"/>
          </w:rPr>
          <w:t>Mauthausen</w:t>
        </w:r>
        <w:proofErr w:type="spellEnd"/>
        <w:r w:rsidR="007C1C84" w:rsidRPr="007C1C84">
          <w:rPr>
            <w:rFonts w:ascii="Arial" w:eastAsia="Times New Roman" w:hAnsi="Arial" w:cs="Arial"/>
            <w:color w:val="0000FF"/>
            <w:sz w:val="20"/>
            <w:u w:val="single"/>
            <w:lang w:eastAsia="es-ES"/>
          </w:rPr>
          <w:t xml:space="preserve">, </w:t>
        </w:r>
        <w:proofErr w:type="spellStart"/>
        <w:r w:rsidR="007C1C84" w:rsidRPr="007C1C84">
          <w:rPr>
            <w:rFonts w:ascii="Arial" w:eastAsia="Times New Roman" w:hAnsi="Arial" w:cs="Arial"/>
            <w:color w:val="0000FF"/>
            <w:sz w:val="20"/>
            <w:u w:val="single"/>
            <w:lang w:eastAsia="es-ES"/>
          </w:rPr>
          <w:t>Sachsenhausen</w:t>
        </w:r>
        <w:proofErr w:type="spellEnd"/>
        <w:r w:rsidR="007C1C84" w:rsidRPr="007C1C84">
          <w:rPr>
            <w:rFonts w:ascii="Arial" w:eastAsia="Times New Roman" w:hAnsi="Arial" w:cs="Arial"/>
            <w:color w:val="0000FF"/>
            <w:sz w:val="20"/>
            <w:u w:val="single"/>
            <w:lang w:eastAsia="es-ES"/>
          </w:rPr>
          <w:t xml:space="preserve"> y </w:t>
        </w:r>
        <w:proofErr w:type="spellStart"/>
        <w:r w:rsidR="007C1C84" w:rsidRPr="007C1C84">
          <w:rPr>
            <w:rFonts w:ascii="Arial" w:eastAsia="Times New Roman" w:hAnsi="Arial" w:cs="Arial"/>
            <w:color w:val="0000FF"/>
            <w:sz w:val="20"/>
            <w:u w:val="single"/>
            <w:lang w:eastAsia="es-ES"/>
          </w:rPr>
          <w:t>Flossenbürg</w:t>
        </w:r>
        <w:proofErr w:type="spellEnd"/>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ind w:left="720"/>
        <w:rPr>
          <w:rFonts w:ascii="Times New Roman" w:eastAsia="Times New Roman" w:hAnsi="Times New Roman" w:cs="Times New Roman"/>
          <w:sz w:val="24"/>
          <w:szCs w:val="24"/>
          <w:lang w:eastAsia="es-ES"/>
        </w:rPr>
      </w:pPr>
      <w:hyperlink r:id="rId7" w:anchor="I.2.-" w:history="1">
        <w:r w:rsidR="007C1C84" w:rsidRPr="007C1C84">
          <w:rPr>
            <w:rFonts w:ascii="Arial" w:eastAsia="Times New Roman" w:hAnsi="Arial" w:cs="Arial"/>
            <w:color w:val="0000FF"/>
            <w:sz w:val="20"/>
            <w:u w:val="single"/>
            <w:lang w:eastAsia="es-ES"/>
          </w:rPr>
          <w:t xml:space="preserve">I.2.- Hechos probados en sede judicial relativos a la persecución y exterminio de prisioneros, incluidos prisioneros españoles, en el campo de concentración de </w:t>
        </w:r>
        <w:proofErr w:type="spellStart"/>
        <w:r w:rsidR="007C1C84" w:rsidRPr="007C1C84">
          <w:rPr>
            <w:rFonts w:ascii="Arial" w:eastAsia="Times New Roman" w:hAnsi="Arial" w:cs="Arial"/>
            <w:color w:val="0000FF"/>
            <w:sz w:val="20"/>
            <w:u w:val="single"/>
            <w:lang w:eastAsia="es-ES"/>
          </w:rPr>
          <w:t>Mauthausen</w:t>
        </w:r>
        <w:proofErr w:type="spellEnd"/>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ind w:left="720"/>
        <w:rPr>
          <w:rFonts w:ascii="Times New Roman" w:eastAsia="Times New Roman" w:hAnsi="Times New Roman" w:cs="Times New Roman"/>
          <w:sz w:val="24"/>
          <w:szCs w:val="24"/>
          <w:lang w:eastAsia="es-ES"/>
        </w:rPr>
      </w:pPr>
      <w:hyperlink r:id="rId8" w:anchor="I.3.-" w:history="1">
        <w:r w:rsidR="007C1C84" w:rsidRPr="007C1C84">
          <w:rPr>
            <w:rFonts w:ascii="Arial" w:eastAsia="Times New Roman" w:hAnsi="Arial" w:cs="Arial"/>
            <w:color w:val="0000FF"/>
            <w:sz w:val="20"/>
            <w:u w:val="single"/>
            <w:lang w:eastAsia="es-ES"/>
          </w:rPr>
          <w:t xml:space="preserve">I.3.- Hechos probados en sede judicial relativos a la persecución y exterminio de prisioneros, incluidos prisioneros españoles, en el campo de concentración de </w:t>
        </w:r>
        <w:proofErr w:type="spellStart"/>
        <w:r w:rsidR="007C1C84" w:rsidRPr="007C1C84">
          <w:rPr>
            <w:rFonts w:ascii="Arial" w:eastAsia="Times New Roman" w:hAnsi="Arial" w:cs="Arial"/>
            <w:color w:val="0000FF"/>
            <w:sz w:val="20"/>
            <w:u w:val="single"/>
            <w:lang w:eastAsia="es-ES"/>
          </w:rPr>
          <w:t>Sachsenhausen</w:t>
        </w:r>
        <w:proofErr w:type="spellEnd"/>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ind w:left="720"/>
        <w:rPr>
          <w:rFonts w:ascii="Times New Roman" w:eastAsia="Times New Roman" w:hAnsi="Times New Roman" w:cs="Times New Roman"/>
          <w:sz w:val="24"/>
          <w:szCs w:val="24"/>
          <w:lang w:eastAsia="es-ES"/>
        </w:rPr>
      </w:pPr>
      <w:hyperlink r:id="rId9" w:anchor="I.4.-" w:history="1">
        <w:r w:rsidR="007C1C84" w:rsidRPr="007C1C84">
          <w:rPr>
            <w:rFonts w:ascii="Arial" w:eastAsia="Times New Roman" w:hAnsi="Arial" w:cs="Arial"/>
            <w:color w:val="0000FF"/>
            <w:sz w:val="20"/>
            <w:u w:val="single"/>
            <w:lang w:eastAsia="es-ES"/>
          </w:rPr>
          <w:t xml:space="preserve">I.4.- Hechos probados en sede judicial relativos a la persecución y exterminio de prisioneros, incluidos prisioneros españoles, en el campo de concentración de </w:t>
        </w:r>
        <w:proofErr w:type="spellStart"/>
        <w:r w:rsidR="007C1C84" w:rsidRPr="007C1C84">
          <w:rPr>
            <w:rFonts w:ascii="Arial" w:eastAsia="Times New Roman" w:hAnsi="Arial" w:cs="Arial"/>
            <w:color w:val="0000FF"/>
            <w:sz w:val="20"/>
            <w:u w:val="single"/>
            <w:lang w:eastAsia="es-ES"/>
          </w:rPr>
          <w:t>Flossenbürg</w:t>
        </w:r>
        <w:proofErr w:type="spellEnd"/>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rPr>
          <w:rFonts w:ascii="Times New Roman" w:eastAsia="Times New Roman" w:hAnsi="Times New Roman" w:cs="Times New Roman"/>
          <w:sz w:val="24"/>
          <w:szCs w:val="24"/>
          <w:lang w:eastAsia="es-ES"/>
        </w:rPr>
      </w:pPr>
      <w:hyperlink r:id="rId10" w:anchor="FUNDAMENTOS%20DE%20DERECHO" w:history="1">
        <w:r w:rsidR="007C1C84" w:rsidRPr="007C1C84">
          <w:rPr>
            <w:rFonts w:ascii="Arial" w:eastAsia="Times New Roman" w:hAnsi="Arial" w:cs="Arial"/>
            <w:b/>
            <w:bCs/>
            <w:color w:val="0000FF"/>
            <w:sz w:val="20"/>
            <w:u w:val="single"/>
            <w:lang w:eastAsia="es-ES"/>
          </w:rPr>
          <w:t>II.- FUNDAMENTOS DE DERECHO</w:t>
        </w:r>
      </w:hyperlink>
      <w:r w:rsidR="007C1C84" w:rsidRPr="007C1C84">
        <w:rPr>
          <w:rFonts w:ascii="Arial" w:eastAsia="Times New Roman" w:hAnsi="Arial" w:cs="Arial"/>
          <w:b/>
          <w:bCs/>
          <w:sz w:val="20"/>
          <w:szCs w:val="20"/>
          <w:lang w:eastAsia="es-ES"/>
        </w:rPr>
        <w:t>:</w:t>
      </w:r>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ind w:left="720"/>
        <w:rPr>
          <w:rFonts w:ascii="Times New Roman" w:eastAsia="Times New Roman" w:hAnsi="Times New Roman" w:cs="Times New Roman"/>
          <w:sz w:val="24"/>
          <w:szCs w:val="24"/>
          <w:lang w:eastAsia="es-ES"/>
        </w:rPr>
      </w:pPr>
      <w:hyperlink r:id="rId11" w:anchor="II.1.-%20Jurisdicci%C3%B3n" w:history="1">
        <w:r w:rsidR="007C1C84" w:rsidRPr="007C1C84">
          <w:rPr>
            <w:rFonts w:ascii="Arial" w:eastAsia="Times New Roman" w:hAnsi="Arial" w:cs="Arial"/>
            <w:color w:val="0000FF"/>
            <w:sz w:val="20"/>
            <w:u w:val="single"/>
            <w:lang w:eastAsia="es-ES"/>
          </w:rPr>
          <w:t>II.1.- Jurisdicción de los tribunales españoles</w:t>
        </w:r>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ind w:left="720"/>
        <w:rPr>
          <w:rFonts w:ascii="Times New Roman" w:eastAsia="Times New Roman" w:hAnsi="Times New Roman" w:cs="Times New Roman"/>
          <w:sz w:val="24"/>
          <w:szCs w:val="24"/>
          <w:lang w:eastAsia="es-ES"/>
        </w:rPr>
      </w:pPr>
      <w:hyperlink r:id="rId12" w:anchor="II.2.-%20La%20Aplicaci%C3%B3n" w:history="1">
        <w:r w:rsidR="007C1C84" w:rsidRPr="007C1C84">
          <w:rPr>
            <w:rFonts w:ascii="Arial" w:eastAsia="Times New Roman" w:hAnsi="Arial" w:cs="Arial"/>
            <w:color w:val="0000FF"/>
            <w:sz w:val="20"/>
            <w:u w:val="single"/>
            <w:lang w:eastAsia="es-ES"/>
          </w:rPr>
          <w:t xml:space="preserve">II.2.- La Aplicación de las sentencias y los principios de </w:t>
        </w:r>
        <w:proofErr w:type="spellStart"/>
        <w:r w:rsidR="007C1C84" w:rsidRPr="007C1C84">
          <w:rPr>
            <w:rFonts w:ascii="Arial" w:eastAsia="Times New Roman" w:hAnsi="Arial" w:cs="Arial"/>
            <w:color w:val="0000FF"/>
            <w:sz w:val="20"/>
            <w:u w:val="single"/>
            <w:lang w:eastAsia="es-ES"/>
          </w:rPr>
          <w:t>Nuremberg</w:t>
        </w:r>
        <w:proofErr w:type="spellEnd"/>
        <w:r w:rsidR="007C1C84" w:rsidRPr="007C1C84">
          <w:rPr>
            <w:rFonts w:ascii="Arial" w:eastAsia="Times New Roman" w:hAnsi="Arial" w:cs="Arial"/>
            <w:color w:val="0000FF"/>
            <w:sz w:val="20"/>
            <w:u w:val="single"/>
            <w:lang w:eastAsia="es-ES"/>
          </w:rPr>
          <w:t xml:space="preserve"> en jurisdicción interna. Obligación subsidiaria de aplicación del Estatuto de </w:t>
        </w:r>
        <w:proofErr w:type="spellStart"/>
        <w:r w:rsidR="007C1C84" w:rsidRPr="007C1C84">
          <w:rPr>
            <w:rFonts w:ascii="Arial" w:eastAsia="Times New Roman" w:hAnsi="Arial" w:cs="Arial"/>
            <w:color w:val="0000FF"/>
            <w:sz w:val="20"/>
            <w:u w:val="single"/>
            <w:lang w:eastAsia="es-ES"/>
          </w:rPr>
          <w:t>Nuremberg</w:t>
        </w:r>
        <w:proofErr w:type="spellEnd"/>
        <w:r w:rsidR="007C1C84" w:rsidRPr="007C1C84">
          <w:rPr>
            <w:rFonts w:ascii="Arial" w:eastAsia="Times New Roman" w:hAnsi="Arial" w:cs="Arial"/>
            <w:color w:val="0000FF"/>
            <w:sz w:val="20"/>
            <w:u w:val="single"/>
            <w:lang w:eastAsia="es-ES"/>
          </w:rPr>
          <w:t xml:space="preserve"> por parte de los miembros de las Naciones Unidas</w:t>
        </w:r>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ind w:left="720"/>
        <w:rPr>
          <w:rFonts w:ascii="Times New Roman" w:eastAsia="Times New Roman" w:hAnsi="Times New Roman" w:cs="Times New Roman"/>
          <w:sz w:val="24"/>
          <w:szCs w:val="24"/>
          <w:lang w:eastAsia="es-ES"/>
        </w:rPr>
      </w:pPr>
      <w:hyperlink r:id="rId13" w:anchor="II.3.-%20El%20plan" w:history="1">
        <w:r w:rsidR="007C1C84" w:rsidRPr="007C1C84">
          <w:rPr>
            <w:rFonts w:ascii="Arial" w:eastAsia="Times New Roman" w:hAnsi="Arial" w:cs="Arial"/>
            <w:color w:val="0000FF"/>
            <w:sz w:val="20"/>
            <w:u w:val="single"/>
            <w:lang w:eastAsia="es-ES"/>
          </w:rPr>
          <w:t xml:space="preserve">II.3.- El plan o conspiración criminal como causa de imputación en </w:t>
        </w:r>
        <w:proofErr w:type="spellStart"/>
        <w:r w:rsidR="007C1C84" w:rsidRPr="007C1C84">
          <w:rPr>
            <w:rFonts w:ascii="Arial" w:eastAsia="Times New Roman" w:hAnsi="Arial" w:cs="Arial"/>
            <w:color w:val="0000FF"/>
            <w:sz w:val="20"/>
            <w:u w:val="single"/>
            <w:lang w:eastAsia="es-ES"/>
          </w:rPr>
          <w:t>Nuremberg</w:t>
        </w:r>
        <w:proofErr w:type="spellEnd"/>
      </w:hyperlink>
      <w:r w:rsidR="007C1C84" w:rsidRPr="007C1C84">
        <w:rPr>
          <w:rFonts w:ascii="Arial" w:eastAsia="Times New Roman" w:hAnsi="Arial" w:cs="Arial"/>
          <w:sz w:val="20"/>
          <w:szCs w:val="20"/>
          <w:lang w:eastAsia="es-ES"/>
        </w:rPr>
        <w:t xml:space="preserve">. </w:t>
      </w:r>
    </w:p>
    <w:p w:rsidR="007C1C84" w:rsidRPr="007C1C84" w:rsidRDefault="00DF7B82" w:rsidP="007C1C84">
      <w:pPr>
        <w:numPr>
          <w:ilvl w:val="1"/>
          <w:numId w:val="1"/>
        </w:numPr>
        <w:spacing w:before="100" w:beforeAutospacing="1" w:after="100" w:afterAutospacing="1" w:line="240" w:lineRule="auto"/>
        <w:rPr>
          <w:rFonts w:ascii="Arial" w:eastAsia="Times New Roman" w:hAnsi="Arial" w:cs="Arial"/>
          <w:sz w:val="24"/>
          <w:szCs w:val="24"/>
          <w:lang w:eastAsia="es-ES"/>
        </w:rPr>
      </w:pPr>
      <w:hyperlink r:id="rId14" w:anchor="II.3.1.-%20Criterios" w:history="1">
        <w:r w:rsidR="007C1C84" w:rsidRPr="007C1C84">
          <w:rPr>
            <w:rFonts w:ascii="Arial" w:eastAsia="Times New Roman" w:hAnsi="Arial" w:cs="Arial"/>
            <w:color w:val="0000FF"/>
            <w:sz w:val="20"/>
            <w:u w:val="single"/>
            <w:lang w:eastAsia="es-ES"/>
          </w:rPr>
          <w:t xml:space="preserve">II.3.1.- Criterios y principios para determinar el carácter criminal de una organización según </w:t>
        </w:r>
        <w:proofErr w:type="spellStart"/>
        <w:r w:rsidR="007C1C84" w:rsidRPr="007C1C84">
          <w:rPr>
            <w:rFonts w:ascii="Arial" w:eastAsia="Times New Roman" w:hAnsi="Arial" w:cs="Arial"/>
            <w:color w:val="0000FF"/>
            <w:sz w:val="20"/>
            <w:u w:val="single"/>
            <w:lang w:eastAsia="es-ES"/>
          </w:rPr>
          <w:t>Nuremberg</w:t>
        </w:r>
        <w:proofErr w:type="spellEnd"/>
      </w:hyperlink>
      <w:r w:rsidR="007C1C84" w:rsidRPr="007C1C84">
        <w:rPr>
          <w:rFonts w:ascii="Arial" w:eastAsia="Times New Roman" w:hAnsi="Arial" w:cs="Arial"/>
          <w:sz w:val="20"/>
          <w:szCs w:val="20"/>
          <w:lang w:eastAsia="es-ES"/>
        </w:rPr>
        <w:t xml:space="preserve">. </w:t>
      </w:r>
    </w:p>
    <w:p w:rsidR="007C1C84" w:rsidRPr="007C1C84" w:rsidRDefault="00DF7B82" w:rsidP="007C1C84">
      <w:pPr>
        <w:numPr>
          <w:ilvl w:val="1"/>
          <w:numId w:val="1"/>
        </w:numPr>
        <w:spacing w:before="100" w:beforeAutospacing="1" w:after="100" w:afterAutospacing="1" w:line="240" w:lineRule="auto"/>
        <w:rPr>
          <w:rFonts w:ascii="Arial" w:eastAsia="Times New Roman" w:hAnsi="Arial" w:cs="Arial"/>
          <w:sz w:val="24"/>
          <w:szCs w:val="24"/>
          <w:lang w:eastAsia="es-ES"/>
        </w:rPr>
      </w:pPr>
      <w:hyperlink r:id="rId15" w:anchor="II.3.2.-%20Organizaciones" w:history="1">
        <w:r w:rsidR="007C1C84" w:rsidRPr="007C1C84">
          <w:rPr>
            <w:rFonts w:ascii="Arial" w:eastAsia="Times New Roman" w:hAnsi="Arial" w:cs="Arial"/>
            <w:color w:val="0000FF"/>
            <w:sz w:val="20"/>
            <w:u w:val="single"/>
            <w:lang w:eastAsia="es-ES"/>
          </w:rPr>
          <w:t xml:space="preserve">II.3.2.- Organizaciones que por sus objetivos y fines fueron consideradas criminales por el Tribunal de </w:t>
        </w:r>
        <w:proofErr w:type="spellStart"/>
        <w:r w:rsidR="007C1C84" w:rsidRPr="007C1C84">
          <w:rPr>
            <w:rFonts w:ascii="Arial" w:eastAsia="Times New Roman" w:hAnsi="Arial" w:cs="Arial"/>
            <w:color w:val="0000FF"/>
            <w:sz w:val="20"/>
            <w:u w:val="single"/>
            <w:lang w:eastAsia="es-ES"/>
          </w:rPr>
          <w:t>Nuremberg</w:t>
        </w:r>
        <w:proofErr w:type="spellEnd"/>
      </w:hyperlink>
      <w:r w:rsidR="007C1C84" w:rsidRPr="007C1C84">
        <w:rPr>
          <w:rFonts w:ascii="Arial" w:eastAsia="Times New Roman" w:hAnsi="Arial" w:cs="Arial"/>
          <w:sz w:val="20"/>
          <w:szCs w:val="20"/>
          <w:lang w:eastAsia="es-ES"/>
        </w:rPr>
        <w:t xml:space="preserve">. </w:t>
      </w:r>
    </w:p>
    <w:p w:rsidR="007C1C84" w:rsidRPr="007C1C84" w:rsidRDefault="00DF7B82" w:rsidP="007C1C84">
      <w:pPr>
        <w:numPr>
          <w:ilvl w:val="1"/>
          <w:numId w:val="1"/>
        </w:numPr>
        <w:spacing w:before="100" w:beforeAutospacing="1" w:after="100" w:afterAutospacing="1" w:line="240" w:lineRule="auto"/>
        <w:rPr>
          <w:rFonts w:ascii="Arial" w:eastAsia="Times New Roman" w:hAnsi="Arial" w:cs="Arial"/>
          <w:sz w:val="24"/>
          <w:szCs w:val="24"/>
          <w:lang w:eastAsia="es-ES"/>
        </w:rPr>
      </w:pPr>
      <w:hyperlink r:id="rId16" w:anchor="II.3.3.-%20Condenados" w:history="1">
        <w:r w:rsidR="007C1C84" w:rsidRPr="007C1C84">
          <w:rPr>
            <w:rFonts w:ascii="Arial" w:eastAsia="Times New Roman" w:hAnsi="Arial" w:cs="Arial"/>
            <w:color w:val="0000FF"/>
            <w:sz w:val="20"/>
            <w:u w:val="single"/>
            <w:lang w:eastAsia="es-ES"/>
          </w:rPr>
          <w:t xml:space="preserve">II.3.3.- Condenados en razón de su pertenencia a organización criminal por el Tribunal de </w:t>
        </w:r>
        <w:proofErr w:type="spellStart"/>
        <w:r w:rsidR="007C1C84" w:rsidRPr="007C1C84">
          <w:rPr>
            <w:rFonts w:ascii="Arial" w:eastAsia="Times New Roman" w:hAnsi="Arial" w:cs="Arial"/>
            <w:color w:val="0000FF"/>
            <w:sz w:val="20"/>
            <w:u w:val="single"/>
            <w:lang w:eastAsia="es-ES"/>
          </w:rPr>
          <w:t>Nuremberg</w:t>
        </w:r>
        <w:proofErr w:type="spellEnd"/>
      </w:hyperlink>
      <w:r w:rsidR="007C1C84" w:rsidRPr="007C1C84">
        <w:rPr>
          <w:rFonts w:ascii="Arial" w:eastAsia="Times New Roman" w:hAnsi="Arial" w:cs="Arial"/>
          <w:sz w:val="20"/>
          <w:szCs w:val="20"/>
          <w:lang w:eastAsia="es-ES"/>
        </w:rPr>
        <w:t xml:space="preserve">. </w:t>
      </w:r>
    </w:p>
    <w:p w:rsidR="007C1C84" w:rsidRPr="007C1C84" w:rsidRDefault="00DF7B82" w:rsidP="007C1C84">
      <w:pPr>
        <w:numPr>
          <w:ilvl w:val="1"/>
          <w:numId w:val="1"/>
        </w:numPr>
        <w:spacing w:before="100" w:beforeAutospacing="1" w:after="100" w:afterAutospacing="1" w:line="240" w:lineRule="auto"/>
        <w:rPr>
          <w:rFonts w:ascii="Arial" w:eastAsia="Times New Roman" w:hAnsi="Arial" w:cs="Arial"/>
          <w:sz w:val="24"/>
          <w:szCs w:val="24"/>
          <w:lang w:eastAsia="es-ES"/>
        </w:rPr>
      </w:pPr>
      <w:hyperlink r:id="rId17" w:anchor="II.3.4.-%20Organizaci%C3%B3n" w:history="1">
        <w:r w:rsidR="007C1C84" w:rsidRPr="007C1C84">
          <w:rPr>
            <w:rFonts w:ascii="Arial" w:eastAsia="Times New Roman" w:hAnsi="Arial" w:cs="Arial"/>
            <w:color w:val="0000FF"/>
            <w:sz w:val="20"/>
            <w:u w:val="single"/>
            <w:lang w:eastAsia="es-ES"/>
          </w:rPr>
          <w:t>II.3.4.- Organización criminal bajo la Ley 10 del Consejo de Control Aliado</w:t>
        </w:r>
      </w:hyperlink>
      <w:r w:rsidR="007C1C84" w:rsidRPr="007C1C84">
        <w:rPr>
          <w:rFonts w:ascii="Arial" w:eastAsia="Times New Roman" w:hAnsi="Arial" w:cs="Arial"/>
          <w:sz w:val="20"/>
          <w:szCs w:val="20"/>
          <w:lang w:eastAsia="es-ES"/>
        </w:rPr>
        <w:t xml:space="preserve">. </w:t>
      </w:r>
    </w:p>
    <w:p w:rsidR="007C1C84" w:rsidRPr="007C1C84" w:rsidRDefault="00DF7B82" w:rsidP="007C1C84">
      <w:pPr>
        <w:numPr>
          <w:ilvl w:val="1"/>
          <w:numId w:val="1"/>
        </w:numPr>
        <w:spacing w:before="100" w:beforeAutospacing="1" w:after="100" w:afterAutospacing="1" w:line="240" w:lineRule="auto"/>
        <w:rPr>
          <w:rFonts w:ascii="Arial" w:eastAsia="Times New Roman" w:hAnsi="Arial" w:cs="Arial"/>
          <w:sz w:val="24"/>
          <w:szCs w:val="24"/>
          <w:lang w:eastAsia="es-ES"/>
        </w:rPr>
      </w:pPr>
      <w:hyperlink r:id="rId18" w:anchor="II.3.5.-%20Las%20Waffen%20SS" w:history="1">
        <w:r w:rsidR="007C1C84" w:rsidRPr="007C1C84">
          <w:rPr>
            <w:rFonts w:ascii="Arial" w:eastAsia="Times New Roman" w:hAnsi="Arial" w:cs="Arial"/>
            <w:color w:val="0000FF"/>
            <w:sz w:val="20"/>
            <w:u w:val="single"/>
            <w:lang w:eastAsia="es-ES"/>
          </w:rPr>
          <w:t xml:space="preserve">II.3.5.- Las </w:t>
        </w:r>
        <w:proofErr w:type="spellStart"/>
        <w:r w:rsidR="007C1C84" w:rsidRPr="007C1C84">
          <w:rPr>
            <w:rFonts w:ascii="Arial" w:eastAsia="Times New Roman" w:hAnsi="Arial" w:cs="Arial"/>
            <w:color w:val="0000FF"/>
            <w:sz w:val="20"/>
            <w:u w:val="single"/>
            <w:lang w:eastAsia="es-ES"/>
          </w:rPr>
          <w:t>Waffen</w:t>
        </w:r>
        <w:proofErr w:type="spellEnd"/>
        <w:r w:rsidR="007C1C84" w:rsidRPr="007C1C84">
          <w:rPr>
            <w:rFonts w:ascii="Arial" w:eastAsia="Times New Roman" w:hAnsi="Arial" w:cs="Arial"/>
            <w:color w:val="0000FF"/>
            <w:sz w:val="20"/>
            <w:u w:val="single"/>
            <w:lang w:eastAsia="es-ES"/>
          </w:rPr>
          <w:t xml:space="preserve"> SS y su carácter de organización criminal: Las </w:t>
        </w:r>
        <w:proofErr w:type="spellStart"/>
        <w:r w:rsidR="007C1C84" w:rsidRPr="007C1C84">
          <w:rPr>
            <w:rFonts w:ascii="Arial" w:eastAsia="Times New Roman" w:hAnsi="Arial" w:cs="Arial"/>
            <w:color w:val="0000FF"/>
            <w:sz w:val="20"/>
            <w:u w:val="single"/>
            <w:lang w:eastAsia="es-ES"/>
          </w:rPr>
          <w:t>Waffen</w:t>
        </w:r>
        <w:proofErr w:type="spellEnd"/>
        <w:r w:rsidR="007C1C84" w:rsidRPr="007C1C84">
          <w:rPr>
            <w:rFonts w:ascii="Arial" w:eastAsia="Times New Roman" w:hAnsi="Arial" w:cs="Arial"/>
            <w:color w:val="0000FF"/>
            <w:sz w:val="20"/>
            <w:u w:val="single"/>
            <w:lang w:eastAsia="es-ES"/>
          </w:rPr>
          <w:t xml:space="preserve"> SS, las unidades </w:t>
        </w:r>
        <w:proofErr w:type="spellStart"/>
        <w:r w:rsidR="007C1C84" w:rsidRPr="007C1C84">
          <w:rPr>
            <w:rFonts w:ascii="Arial" w:eastAsia="Times New Roman" w:hAnsi="Arial" w:cs="Arial"/>
            <w:i/>
            <w:iCs/>
            <w:color w:val="0000FF"/>
            <w:sz w:val="20"/>
            <w:u w:val="single"/>
            <w:lang w:eastAsia="es-ES"/>
          </w:rPr>
          <w:t>Totenkopf</w:t>
        </w:r>
        <w:proofErr w:type="spellEnd"/>
        <w:r w:rsidR="007C1C84" w:rsidRPr="007C1C84">
          <w:rPr>
            <w:rFonts w:ascii="Arial" w:eastAsia="Times New Roman" w:hAnsi="Arial" w:cs="Arial"/>
            <w:color w:val="0000FF"/>
            <w:sz w:val="20"/>
            <w:u w:val="single"/>
            <w:lang w:eastAsia="es-ES"/>
          </w:rPr>
          <w:t xml:space="preserve"> y los campos de concentración</w:t>
        </w:r>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ind w:left="720"/>
        <w:rPr>
          <w:rFonts w:ascii="Times New Roman" w:eastAsia="Times New Roman" w:hAnsi="Times New Roman" w:cs="Times New Roman"/>
          <w:sz w:val="24"/>
          <w:szCs w:val="24"/>
          <w:lang w:eastAsia="es-ES"/>
        </w:rPr>
      </w:pPr>
      <w:hyperlink r:id="rId19" w:anchor="II.4.-%20Organizaci%C3%B3n%20criminal" w:history="1">
        <w:r w:rsidR="007C1C84" w:rsidRPr="007C1C84">
          <w:rPr>
            <w:rFonts w:ascii="Arial" w:eastAsia="Times New Roman" w:hAnsi="Arial" w:cs="Arial"/>
            <w:color w:val="0000FF"/>
            <w:sz w:val="20"/>
            <w:u w:val="single"/>
            <w:lang w:eastAsia="es-ES"/>
          </w:rPr>
          <w:t xml:space="preserve">II.4.- Organización criminal y doctrina del "Plan Criminal Común" en el derecho internacional posterior a </w:t>
        </w:r>
        <w:proofErr w:type="spellStart"/>
        <w:r w:rsidR="007C1C84" w:rsidRPr="007C1C84">
          <w:rPr>
            <w:rFonts w:ascii="Arial" w:eastAsia="Times New Roman" w:hAnsi="Arial" w:cs="Arial"/>
            <w:color w:val="0000FF"/>
            <w:sz w:val="20"/>
            <w:u w:val="single"/>
            <w:lang w:eastAsia="es-ES"/>
          </w:rPr>
          <w:t>Nuremberg</w:t>
        </w:r>
        <w:proofErr w:type="spellEnd"/>
        <w:r w:rsidR="007C1C84" w:rsidRPr="007C1C84">
          <w:rPr>
            <w:rFonts w:ascii="Arial" w:eastAsia="Times New Roman" w:hAnsi="Arial" w:cs="Arial"/>
            <w:color w:val="0000FF"/>
            <w:sz w:val="20"/>
            <w:u w:val="single"/>
            <w:lang w:eastAsia="es-ES"/>
          </w:rPr>
          <w:t xml:space="preserve">. Responsabilidad penal por participación en </w:t>
        </w:r>
        <w:r w:rsidR="007C1C84" w:rsidRPr="007C1C84">
          <w:rPr>
            <w:rFonts w:ascii="Arial" w:eastAsia="Times New Roman" w:hAnsi="Arial" w:cs="Arial"/>
            <w:color w:val="0000FF"/>
            <w:sz w:val="20"/>
            <w:u w:val="single"/>
            <w:lang w:eastAsia="es-ES"/>
          </w:rPr>
          <w:lastRenderedPageBreak/>
          <w:t>Empresa Criminal Conjunta y su aplicación por el Tribunal Penal Internacional para la ex Yugoslavia</w:t>
        </w:r>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ind w:left="720"/>
        <w:rPr>
          <w:rFonts w:ascii="Times New Roman" w:eastAsia="Times New Roman" w:hAnsi="Times New Roman" w:cs="Times New Roman"/>
          <w:sz w:val="24"/>
          <w:szCs w:val="24"/>
          <w:lang w:eastAsia="es-ES"/>
        </w:rPr>
      </w:pPr>
      <w:hyperlink r:id="rId20" w:anchor="II.5.-%20CR%C3%8DMENES" w:history="1">
        <w:r w:rsidR="007C1C84" w:rsidRPr="007C1C84">
          <w:rPr>
            <w:rFonts w:ascii="Arial" w:eastAsia="Times New Roman" w:hAnsi="Arial" w:cs="Arial"/>
            <w:color w:val="0000FF"/>
            <w:sz w:val="20"/>
            <w:u w:val="single"/>
            <w:lang w:eastAsia="es-ES"/>
          </w:rPr>
          <w:t>II.5.- Crímenes Contra la Humanidad</w:t>
        </w:r>
      </w:hyperlink>
      <w:r w:rsidR="007C1C84" w:rsidRPr="007C1C84">
        <w:rPr>
          <w:rFonts w:ascii="Arial" w:eastAsia="Times New Roman" w:hAnsi="Arial" w:cs="Arial"/>
          <w:sz w:val="20"/>
          <w:szCs w:val="20"/>
          <w:lang w:eastAsia="es-ES"/>
        </w:rPr>
        <w:t xml:space="preserve"> </w:t>
      </w:r>
    </w:p>
    <w:p w:rsidR="007C1C84" w:rsidRPr="007C1C84" w:rsidRDefault="00DF7B82" w:rsidP="007C1C84">
      <w:pPr>
        <w:numPr>
          <w:ilvl w:val="1"/>
          <w:numId w:val="1"/>
        </w:numPr>
        <w:spacing w:before="100" w:beforeAutospacing="1" w:after="100" w:afterAutospacing="1" w:line="240" w:lineRule="auto"/>
        <w:rPr>
          <w:rFonts w:ascii="Arial" w:eastAsia="Times New Roman" w:hAnsi="Arial" w:cs="Arial"/>
          <w:sz w:val="24"/>
          <w:szCs w:val="24"/>
          <w:lang w:eastAsia="es-ES"/>
        </w:rPr>
      </w:pPr>
      <w:hyperlink r:id="rId21" w:anchor="II.5.1.-%20Los%20cr%C3%ADmenes" w:history="1">
        <w:r w:rsidR="007C1C84" w:rsidRPr="007C1C84">
          <w:rPr>
            <w:rFonts w:ascii="Arial" w:eastAsia="Times New Roman" w:hAnsi="Arial" w:cs="Arial"/>
            <w:color w:val="0000FF"/>
            <w:sz w:val="20"/>
            <w:u w:val="single"/>
            <w:lang w:eastAsia="es-ES"/>
          </w:rPr>
          <w:t xml:space="preserve">II.5.1.- Los crímenes contra la humanidad en el Derecho de </w:t>
        </w:r>
        <w:proofErr w:type="spellStart"/>
        <w:r w:rsidR="007C1C84" w:rsidRPr="007C1C84">
          <w:rPr>
            <w:rFonts w:ascii="Arial" w:eastAsia="Times New Roman" w:hAnsi="Arial" w:cs="Arial"/>
            <w:color w:val="0000FF"/>
            <w:sz w:val="20"/>
            <w:u w:val="single"/>
            <w:lang w:eastAsia="es-ES"/>
          </w:rPr>
          <w:t>Nuremberg</w:t>
        </w:r>
        <w:proofErr w:type="spellEnd"/>
        <w:r w:rsidR="007C1C84" w:rsidRPr="007C1C84">
          <w:rPr>
            <w:rFonts w:ascii="Arial" w:eastAsia="Times New Roman" w:hAnsi="Arial" w:cs="Arial"/>
            <w:color w:val="0000FF"/>
            <w:sz w:val="20"/>
            <w:u w:val="single"/>
            <w:lang w:eastAsia="es-ES"/>
          </w:rPr>
          <w:t xml:space="preserve"> y su posterior desarrollo en el Derecho Internacional de los Derechos Humanos</w:t>
        </w:r>
      </w:hyperlink>
      <w:r w:rsidR="007C1C84" w:rsidRPr="007C1C84">
        <w:rPr>
          <w:rFonts w:ascii="Arial" w:eastAsia="Times New Roman" w:hAnsi="Arial" w:cs="Arial"/>
          <w:sz w:val="20"/>
          <w:szCs w:val="20"/>
          <w:lang w:eastAsia="es-ES"/>
        </w:rPr>
        <w:t xml:space="preserve">. </w:t>
      </w:r>
    </w:p>
    <w:p w:rsidR="007C1C84" w:rsidRPr="007C1C84" w:rsidRDefault="00DF7B82" w:rsidP="007C1C84">
      <w:pPr>
        <w:numPr>
          <w:ilvl w:val="1"/>
          <w:numId w:val="1"/>
        </w:numPr>
        <w:spacing w:before="100" w:beforeAutospacing="1" w:after="100" w:afterAutospacing="1" w:line="240" w:lineRule="auto"/>
        <w:rPr>
          <w:rFonts w:ascii="Arial" w:eastAsia="Times New Roman" w:hAnsi="Arial" w:cs="Arial"/>
          <w:sz w:val="24"/>
          <w:szCs w:val="24"/>
          <w:lang w:eastAsia="es-ES"/>
        </w:rPr>
      </w:pPr>
      <w:hyperlink r:id="rId22" w:anchor="II.5.2-%20Actos" w:history="1">
        <w:r w:rsidR="007C1C84" w:rsidRPr="007C1C84">
          <w:rPr>
            <w:rFonts w:ascii="Arial" w:eastAsia="Times New Roman" w:hAnsi="Arial" w:cs="Arial"/>
            <w:color w:val="0000FF"/>
            <w:sz w:val="20"/>
            <w:u w:val="single"/>
            <w:lang w:eastAsia="es-ES"/>
          </w:rPr>
          <w:t>II.5.2.- Actos que constituyen crímenes contra la humanidad</w:t>
        </w:r>
      </w:hyperlink>
      <w:r w:rsidR="007C1C84" w:rsidRPr="007C1C84">
        <w:rPr>
          <w:rFonts w:ascii="Arial" w:eastAsia="Times New Roman" w:hAnsi="Arial" w:cs="Arial"/>
          <w:sz w:val="20"/>
          <w:szCs w:val="20"/>
          <w:lang w:eastAsia="es-ES"/>
        </w:rPr>
        <w:t xml:space="preserve">. </w:t>
      </w:r>
    </w:p>
    <w:p w:rsidR="007C1C84" w:rsidRPr="007C1C84" w:rsidRDefault="00DF7B82" w:rsidP="007C1C84">
      <w:pPr>
        <w:numPr>
          <w:ilvl w:val="1"/>
          <w:numId w:val="1"/>
        </w:numPr>
        <w:spacing w:before="100" w:beforeAutospacing="1" w:after="100" w:afterAutospacing="1" w:line="240" w:lineRule="auto"/>
        <w:rPr>
          <w:rFonts w:ascii="Arial" w:eastAsia="Times New Roman" w:hAnsi="Arial" w:cs="Arial"/>
          <w:sz w:val="24"/>
          <w:szCs w:val="24"/>
          <w:lang w:eastAsia="es-ES"/>
        </w:rPr>
      </w:pPr>
      <w:hyperlink r:id="rId23" w:anchor="II.5.3.-%20Elementos" w:history="1">
        <w:r w:rsidR="007C1C84" w:rsidRPr="007C1C84">
          <w:rPr>
            <w:rFonts w:ascii="Arial" w:eastAsia="Times New Roman" w:hAnsi="Arial" w:cs="Arial"/>
            <w:color w:val="0000FF"/>
            <w:sz w:val="20"/>
            <w:u w:val="single"/>
            <w:lang w:eastAsia="es-ES"/>
          </w:rPr>
          <w:t>II.5.3.- Elementos comunes en los crímenes contra la humanidad</w:t>
        </w:r>
      </w:hyperlink>
      <w:r w:rsidR="007C1C84" w:rsidRPr="007C1C84">
        <w:rPr>
          <w:rFonts w:ascii="Arial" w:eastAsia="Times New Roman" w:hAnsi="Arial" w:cs="Arial"/>
          <w:sz w:val="20"/>
          <w:szCs w:val="20"/>
          <w:lang w:eastAsia="es-ES"/>
        </w:rPr>
        <w:t xml:space="preserve">. </w:t>
      </w:r>
    </w:p>
    <w:p w:rsidR="007C1C84" w:rsidRPr="007C1C84" w:rsidRDefault="00DF7B82" w:rsidP="007C1C84">
      <w:pPr>
        <w:numPr>
          <w:ilvl w:val="1"/>
          <w:numId w:val="1"/>
        </w:numPr>
        <w:spacing w:before="100" w:beforeAutospacing="1" w:after="100" w:afterAutospacing="1" w:line="240" w:lineRule="auto"/>
        <w:rPr>
          <w:rFonts w:ascii="Arial" w:eastAsia="Times New Roman" w:hAnsi="Arial" w:cs="Arial"/>
          <w:sz w:val="24"/>
          <w:szCs w:val="24"/>
          <w:lang w:eastAsia="es-ES"/>
        </w:rPr>
      </w:pPr>
      <w:hyperlink r:id="rId24" w:anchor="II.5.4.-%20Caracter%C3%ADsticas" w:history="1">
        <w:r w:rsidR="007C1C84" w:rsidRPr="007C1C84">
          <w:rPr>
            <w:rFonts w:ascii="Arial" w:eastAsia="Times New Roman" w:hAnsi="Arial" w:cs="Arial"/>
            <w:color w:val="0000FF"/>
            <w:sz w:val="20"/>
            <w:u w:val="single"/>
            <w:lang w:eastAsia="es-ES"/>
          </w:rPr>
          <w:t>II.5.4.- Características de los crímenes contra la humanidad por razón de su naturaleza</w:t>
        </w:r>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rPr>
          <w:rFonts w:ascii="Times New Roman" w:eastAsia="Times New Roman" w:hAnsi="Times New Roman" w:cs="Times New Roman"/>
          <w:sz w:val="24"/>
          <w:szCs w:val="24"/>
          <w:lang w:eastAsia="es-ES"/>
        </w:rPr>
      </w:pPr>
      <w:hyperlink r:id="rId25" w:anchor="III.-%20UNIDADES" w:history="1">
        <w:r w:rsidR="007C1C84" w:rsidRPr="007C1C84">
          <w:rPr>
            <w:rFonts w:ascii="Arial" w:eastAsia="Times New Roman" w:hAnsi="Arial" w:cs="Arial"/>
            <w:b/>
            <w:bCs/>
            <w:color w:val="0000FF"/>
            <w:sz w:val="20"/>
            <w:u w:val="single"/>
            <w:lang w:eastAsia="es-ES"/>
          </w:rPr>
          <w:t>III.- UNIDADES DE LA ORGANIZACIÓN CRIMINAL DE LAS SS ENCARGADAS DE LA ADMINISTRACIÓN Y VIGILANCIA DE LOS CAMPOS DE CONCENTRACIÓN</w:t>
        </w:r>
      </w:hyperlink>
      <w:r w:rsidR="007C1C84" w:rsidRPr="007C1C84">
        <w:rPr>
          <w:rFonts w:ascii="Arial" w:eastAsia="Times New Roman" w:hAnsi="Arial" w:cs="Arial"/>
          <w:b/>
          <w:bCs/>
          <w:sz w:val="20"/>
          <w:szCs w:val="20"/>
          <w:lang w:eastAsia="es-ES"/>
        </w:rPr>
        <w:t>.</w:t>
      </w:r>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rPr>
          <w:rFonts w:ascii="Times New Roman" w:eastAsia="Times New Roman" w:hAnsi="Times New Roman" w:cs="Times New Roman"/>
          <w:sz w:val="24"/>
          <w:szCs w:val="24"/>
          <w:lang w:eastAsia="es-ES"/>
        </w:rPr>
      </w:pPr>
      <w:hyperlink r:id="rId26" w:anchor="IV.%20GUARDAS%20ARMADOS" w:history="1">
        <w:r w:rsidR="007C1C84" w:rsidRPr="007C1C84">
          <w:rPr>
            <w:rFonts w:ascii="Arial" w:eastAsia="Times New Roman" w:hAnsi="Arial" w:cs="Arial"/>
            <w:b/>
            <w:bCs/>
            <w:color w:val="0000FF"/>
            <w:sz w:val="20"/>
            <w:u w:val="single"/>
            <w:lang w:eastAsia="es-ES"/>
          </w:rPr>
          <w:t xml:space="preserve">IV. GUARDIAS ARMADOS INTEGRANTES DE LAS </w:t>
        </w:r>
        <w:r w:rsidR="007C1C84" w:rsidRPr="007C1C84">
          <w:rPr>
            <w:rFonts w:ascii="Arial" w:eastAsia="Times New Roman" w:hAnsi="Arial" w:cs="Arial"/>
            <w:b/>
            <w:bCs/>
            <w:i/>
            <w:iCs/>
            <w:color w:val="0000FF"/>
            <w:sz w:val="20"/>
            <w:u w:val="single"/>
            <w:lang w:eastAsia="es-ES"/>
          </w:rPr>
          <w:t>SS-TOTENKOPF-STURMBANN</w:t>
        </w:r>
        <w:r w:rsidR="007C1C84" w:rsidRPr="007C1C84">
          <w:rPr>
            <w:rFonts w:ascii="Arial" w:eastAsia="Times New Roman" w:hAnsi="Arial" w:cs="Arial"/>
            <w:b/>
            <w:bCs/>
            <w:color w:val="0000FF"/>
            <w:sz w:val="20"/>
            <w:u w:val="single"/>
            <w:lang w:eastAsia="es-ES"/>
          </w:rPr>
          <w:t xml:space="preserve"> QUE HAN PRESTADO SERVICIO EN LOS CAMPOS DE MAUTHAUSEN, SACHSENHAUSEN O FLOSSENBÜRG Y CUYA IMPUTACIÓN Y PROCESAMIENTO SE SOLICITA A EFECTOS DE DEMANDAR SU ENTREGA A LAS AUTORIDADES ESTADOUNIDENSES</w:t>
        </w:r>
      </w:hyperlink>
      <w:r w:rsidR="007C1C84" w:rsidRPr="007C1C84">
        <w:rPr>
          <w:rFonts w:ascii="Arial" w:eastAsia="Times New Roman" w:hAnsi="Arial" w:cs="Arial"/>
          <w:b/>
          <w:bCs/>
          <w:sz w:val="20"/>
          <w:szCs w:val="20"/>
          <w:lang w:eastAsia="es-ES"/>
        </w:rPr>
        <w:t>.</w:t>
      </w:r>
      <w:r w:rsidR="007C1C84" w:rsidRPr="007C1C84">
        <w:rPr>
          <w:rFonts w:ascii="Arial" w:eastAsia="Times New Roman" w:hAnsi="Arial" w:cs="Arial"/>
          <w:sz w:val="20"/>
          <w:szCs w:val="20"/>
          <w:lang w:eastAsia="es-ES"/>
        </w:rPr>
        <w:t xml:space="preserve"> </w:t>
      </w:r>
    </w:p>
    <w:p w:rsidR="007C1C84" w:rsidRPr="007C1C84" w:rsidRDefault="00DF7B82" w:rsidP="007C1C84">
      <w:pPr>
        <w:spacing w:after="0" w:line="240" w:lineRule="auto"/>
        <w:ind w:left="720"/>
        <w:rPr>
          <w:rFonts w:ascii="Times New Roman" w:eastAsia="Times New Roman" w:hAnsi="Times New Roman" w:cs="Times New Roman"/>
          <w:sz w:val="24"/>
          <w:szCs w:val="24"/>
          <w:lang w:eastAsia="es-ES"/>
        </w:rPr>
      </w:pPr>
      <w:hyperlink r:id="rId27" w:anchor="A.%20Johann%20Leprich" w:history="1">
        <w:r w:rsidR="007C1C84" w:rsidRPr="007C1C84">
          <w:rPr>
            <w:rFonts w:ascii="Arial" w:eastAsia="Times New Roman" w:hAnsi="Arial" w:cs="Arial"/>
            <w:b/>
            <w:bCs/>
            <w:color w:val="0000FF"/>
            <w:sz w:val="20"/>
            <w:u w:val="single"/>
            <w:lang w:eastAsia="es-ES"/>
          </w:rPr>
          <w:t xml:space="preserve">A. Johann </w:t>
        </w:r>
        <w:proofErr w:type="spellStart"/>
        <w:r w:rsidR="007C1C84" w:rsidRPr="007C1C84">
          <w:rPr>
            <w:rFonts w:ascii="Arial" w:eastAsia="Times New Roman" w:hAnsi="Arial" w:cs="Arial"/>
            <w:b/>
            <w:bCs/>
            <w:color w:val="0000FF"/>
            <w:sz w:val="20"/>
            <w:u w:val="single"/>
            <w:lang w:eastAsia="es-ES"/>
          </w:rPr>
          <w:t>Leprich</w:t>
        </w:r>
        <w:proofErr w:type="spellEnd"/>
        <w:r w:rsidR="007C1C84" w:rsidRPr="007C1C84">
          <w:rPr>
            <w:rFonts w:ascii="Arial" w:eastAsia="Times New Roman" w:hAnsi="Arial" w:cs="Arial"/>
            <w:b/>
            <w:bCs/>
            <w:color w:val="0000FF"/>
            <w:sz w:val="20"/>
            <w:u w:val="single"/>
            <w:lang w:eastAsia="es-ES"/>
          </w:rPr>
          <w:t xml:space="preserve">: </w:t>
        </w:r>
      </w:hyperlink>
      <w:hyperlink r:id="rId28" w:anchor="A.%20Johann%20Leprich" w:history="1">
        <w:r w:rsidR="007C1C84" w:rsidRPr="007C1C84">
          <w:rPr>
            <w:rFonts w:ascii="Arial" w:eastAsia="Times New Roman" w:hAnsi="Arial" w:cs="Arial"/>
            <w:color w:val="0000FF"/>
            <w:sz w:val="20"/>
            <w:u w:val="single"/>
            <w:lang w:eastAsia="es-ES"/>
          </w:rPr>
          <w:t xml:space="preserve">Resumen procesal; Hechos no disputados; Historia </w:t>
        </w:r>
        <w:proofErr w:type="spellStart"/>
        <w:r w:rsidR="007C1C84" w:rsidRPr="007C1C84">
          <w:rPr>
            <w:rFonts w:ascii="Arial" w:eastAsia="Times New Roman" w:hAnsi="Arial" w:cs="Arial"/>
            <w:color w:val="0000FF"/>
            <w:sz w:val="20"/>
            <w:u w:val="single"/>
            <w:lang w:eastAsia="es-ES"/>
          </w:rPr>
          <w:t>procesal</w:t>
        </w:r>
        <w:proofErr w:type="gramStart"/>
        <w:r w:rsidR="007C1C84" w:rsidRPr="007C1C84">
          <w:rPr>
            <w:rFonts w:ascii="Arial" w:eastAsia="Times New Roman" w:hAnsi="Arial" w:cs="Arial"/>
            <w:color w:val="0000FF"/>
            <w:sz w:val="20"/>
            <w:u w:val="single"/>
            <w:lang w:eastAsia="es-ES"/>
          </w:rPr>
          <w:t>;Participación</w:t>
        </w:r>
        <w:proofErr w:type="spellEnd"/>
        <w:proofErr w:type="gramEnd"/>
        <w:r w:rsidR="007C1C84" w:rsidRPr="007C1C84">
          <w:rPr>
            <w:rFonts w:ascii="Arial" w:eastAsia="Times New Roman" w:hAnsi="Arial" w:cs="Arial"/>
            <w:color w:val="0000FF"/>
            <w:sz w:val="20"/>
            <w:u w:val="single"/>
            <w:lang w:eastAsia="es-ES"/>
          </w:rPr>
          <w:t xml:space="preserve"> en persecución</w:t>
        </w:r>
      </w:hyperlink>
      <w:r w:rsidR="007C1C84" w:rsidRPr="007C1C84">
        <w:rPr>
          <w:rFonts w:ascii="Arial" w:eastAsia="Times New Roman" w:hAnsi="Arial" w:cs="Arial"/>
          <w:sz w:val="20"/>
          <w:szCs w:val="20"/>
          <w:lang w:eastAsia="es-ES"/>
        </w:rPr>
        <w:t xml:space="preserve">. </w:t>
      </w:r>
      <w:r w:rsidR="007C1C84" w:rsidRPr="007C1C84">
        <w:rPr>
          <w:rFonts w:ascii="Arial" w:eastAsia="Times New Roman" w:hAnsi="Arial" w:cs="Arial"/>
          <w:sz w:val="20"/>
          <w:szCs w:val="20"/>
          <w:lang w:eastAsia="es-ES"/>
        </w:rPr>
        <w:br/>
      </w:r>
      <w:hyperlink r:id="rId29" w:anchor="B.%20Anton%20Tittjung" w:history="1">
        <w:r w:rsidR="007C1C84" w:rsidRPr="007C1C84">
          <w:rPr>
            <w:rFonts w:ascii="Arial" w:eastAsia="Times New Roman" w:hAnsi="Arial" w:cs="Arial"/>
            <w:b/>
            <w:bCs/>
            <w:color w:val="0000FF"/>
            <w:sz w:val="20"/>
            <w:u w:val="single"/>
            <w:lang w:eastAsia="es-ES"/>
          </w:rPr>
          <w:t xml:space="preserve">B. </w:t>
        </w:r>
        <w:proofErr w:type="spellStart"/>
        <w:r w:rsidR="007C1C84" w:rsidRPr="007C1C84">
          <w:rPr>
            <w:rFonts w:ascii="Arial" w:eastAsia="Times New Roman" w:hAnsi="Arial" w:cs="Arial"/>
            <w:b/>
            <w:bCs/>
            <w:color w:val="0000FF"/>
            <w:sz w:val="20"/>
            <w:u w:val="single"/>
            <w:lang w:eastAsia="es-ES"/>
          </w:rPr>
          <w:t>Anton</w:t>
        </w:r>
        <w:proofErr w:type="spellEnd"/>
        <w:r w:rsidR="007C1C84" w:rsidRPr="007C1C84">
          <w:rPr>
            <w:rFonts w:ascii="Arial" w:eastAsia="Times New Roman" w:hAnsi="Arial" w:cs="Arial"/>
            <w:b/>
            <w:bCs/>
            <w:color w:val="0000FF"/>
            <w:sz w:val="20"/>
            <w:u w:val="single"/>
            <w:lang w:eastAsia="es-ES"/>
          </w:rPr>
          <w:t xml:space="preserve"> </w:t>
        </w:r>
        <w:proofErr w:type="spellStart"/>
        <w:r w:rsidR="007C1C84" w:rsidRPr="007C1C84">
          <w:rPr>
            <w:rFonts w:ascii="Arial" w:eastAsia="Times New Roman" w:hAnsi="Arial" w:cs="Arial"/>
            <w:b/>
            <w:bCs/>
            <w:color w:val="0000FF"/>
            <w:sz w:val="20"/>
            <w:u w:val="single"/>
            <w:lang w:eastAsia="es-ES"/>
          </w:rPr>
          <w:t>Tittjung</w:t>
        </w:r>
        <w:proofErr w:type="spellEnd"/>
        <w:r w:rsidR="007C1C84" w:rsidRPr="007C1C84">
          <w:rPr>
            <w:rFonts w:ascii="Arial" w:eastAsia="Times New Roman" w:hAnsi="Arial" w:cs="Arial"/>
            <w:b/>
            <w:bCs/>
            <w:color w:val="0000FF"/>
            <w:sz w:val="20"/>
            <w:u w:val="single"/>
            <w:lang w:eastAsia="es-ES"/>
          </w:rPr>
          <w:t>:</w:t>
        </w:r>
      </w:hyperlink>
      <w:hyperlink r:id="rId30" w:anchor="B.%20Anton%20Tittjung" w:history="1">
        <w:r w:rsidR="007C1C84" w:rsidRPr="007C1C84">
          <w:rPr>
            <w:rFonts w:ascii="Arial" w:eastAsia="Times New Roman" w:hAnsi="Arial" w:cs="Arial"/>
            <w:color w:val="0000FF"/>
            <w:sz w:val="20"/>
            <w:u w:val="single"/>
            <w:lang w:eastAsia="es-ES"/>
          </w:rPr>
          <w:t xml:space="preserve"> Resumen procesal; Hechos probados; Historia procesal; Participación en persecución</w:t>
        </w:r>
      </w:hyperlink>
      <w:r w:rsidR="007C1C84" w:rsidRPr="007C1C84">
        <w:rPr>
          <w:rFonts w:ascii="Arial" w:eastAsia="Times New Roman" w:hAnsi="Arial" w:cs="Arial"/>
          <w:sz w:val="20"/>
          <w:szCs w:val="20"/>
          <w:lang w:eastAsia="es-ES"/>
        </w:rPr>
        <w:t xml:space="preserve">. </w:t>
      </w:r>
      <w:r w:rsidR="007C1C84" w:rsidRPr="007C1C84">
        <w:rPr>
          <w:rFonts w:ascii="Arial" w:eastAsia="Times New Roman" w:hAnsi="Arial" w:cs="Arial"/>
          <w:sz w:val="20"/>
          <w:szCs w:val="20"/>
          <w:lang w:eastAsia="es-ES"/>
        </w:rPr>
        <w:br/>
      </w:r>
      <w:hyperlink r:id="rId31" w:anchor="C.%20Josias%20Kumpf" w:history="1">
        <w:r w:rsidR="007C1C84" w:rsidRPr="007C1C84">
          <w:rPr>
            <w:rFonts w:ascii="Arial" w:eastAsia="Times New Roman" w:hAnsi="Arial" w:cs="Arial"/>
            <w:b/>
            <w:bCs/>
            <w:color w:val="0000FF"/>
            <w:sz w:val="20"/>
            <w:u w:val="single"/>
            <w:lang w:eastAsia="es-ES"/>
          </w:rPr>
          <w:t xml:space="preserve">C. </w:t>
        </w:r>
        <w:proofErr w:type="spellStart"/>
        <w:r w:rsidR="007C1C84" w:rsidRPr="007C1C84">
          <w:rPr>
            <w:rFonts w:ascii="Arial" w:eastAsia="Times New Roman" w:hAnsi="Arial" w:cs="Arial"/>
            <w:b/>
            <w:bCs/>
            <w:color w:val="0000FF"/>
            <w:sz w:val="20"/>
            <w:u w:val="single"/>
            <w:lang w:eastAsia="es-ES"/>
          </w:rPr>
          <w:t>Josias</w:t>
        </w:r>
        <w:proofErr w:type="spellEnd"/>
        <w:r w:rsidR="007C1C84" w:rsidRPr="007C1C84">
          <w:rPr>
            <w:rFonts w:ascii="Arial" w:eastAsia="Times New Roman" w:hAnsi="Arial" w:cs="Arial"/>
            <w:b/>
            <w:bCs/>
            <w:color w:val="0000FF"/>
            <w:sz w:val="20"/>
            <w:u w:val="single"/>
            <w:lang w:eastAsia="es-ES"/>
          </w:rPr>
          <w:t xml:space="preserve"> </w:t>
        </w:r>
        <w:proofErr w:type="spellStart"/>
        <w:r w:rsidR="007C1C84" w:rsidRPr="007C1C84">
          <w:rPr>
            <w:rFonts w:ascii="Arial" w:eastAsia="Times New Roman" w:hAnsi="Arial" w:cs="Arial"/>
            <w:b/>
            <w:bCs/>
            <w:color w:val="0000FF"/>
            <w:sz w:val="20"/>
            <w:u w:val="single"/>
            <w:lang w:eastAsia="es-ES"/>
          </w:rPr>
          <w:t>Kumpf</w:t>
        </w:r>
        <w:proofErr w:type="spellEnd"/>
        <w:r w:rsidR="007C1C84" w:rsidRPr="007C1C84">
          <w:rPr>
            <w:rFonts w:ascii="Arial" w:eastAsia="Times New Roman" w:hAnsi="Arial" w:cs="Arial"/>
            <w:b/>
            <w:bCs/>
            <w:color w:val="0000FF"/>
            <w:sz w:val="20"/>
            <w:u w:val="single"/>
            <w:lang w:eastAsia="es-ES"/>
          </w:rPr>
          <w:t>:</w:t>
        </w:r>
      </w:hyperlink>
      <w:hyperlink r:id="rId32" w:anchor="C.%20Josias%20Kumpf" w:history="1">
        <w:r w:rsidR="007C1C84" w:rsidRPr="007C1C84">
          <w:rPr>
            <w:rFonts w:ascii="Arial" w:eastAsia="Times New Roman" w:hAnsi="Arial" w:cs="Arial"/>
            <w:color w:val="0000FF"/>
            <w:sz w:val="20"/>
            <w:u w:val="single"/>
            <w:lang w:eastAsia="es-ES"/>
          </w:rPr>
          <w:t xml:space="preserve"> Resumen procesal; Hechos probados; Historia procesal; Participación en persecución</w:t>
        </w:r>
      </w:hyperlink>
      <w:r w:rsidR="007C1C84" w:rsidRPr="007C1C84">
        <w:rPr>
          <w:rFonts w:ascii="Arial" w:eastAsia="Times New Roman" w:hAnsi="Arial" w:cs="Arial"/>
          <w:sz w:val="20"/>
          <w:szCs w:val="20"/>
          <w:lang w:eastAsia="es-ES"/>
        </w:rPr>
        <w:t xml:space="preserve">. </w:t>
      </w:r>
      <w:r w:rsidR="007C1C84" w:rsidRPr="007C1C84">
        <w:rPr>
          <w:rFonts w:ascii="Arial" w:eastAsia="Times New Roman" w:hAnsi="Arial" w:cs="Arial"/>
          <w:sz w:val="20"/>
          <w:szCs w:val="20"/>
          <w:lang w:eastAsia="es-ES"/>
        </w:rPr>
        <w:br/>
      </w:r>
      <w:hyperlink r:id="rId33" w:anchor="D.%20Iwan%20%28John%29%20Demjanjuk" w:history="1">
        <w:r w:rsidR="007C1C84" w:rsidRPr="007C1C84">
          <w:rPr>
            <w:rFonts w:ascii="Arial" w:eastAsia="Times New Roman" w:hAnsi="Arial" w:cs="Arial"/>
            <w:b/>
            <w:bCs/>
            <w:color w:val="0000FF"/>
            <w:sz w:val="20"/>
            <w:u w:val="single"/>
            <w:lang w:eastAsia="es-ES"/>
          </w:rPr>
          <w:t xml:space="preserve">D. </w:t>
        </w:r>
        <w:proofErr w:type="spellStart"/>
        <w:r w:rsidR="007C1C84" w:rsidRPr="007C1C84">
          <w:rPr>
            <w:rFonts w:ascii="Arial" w:eastAsia="Times New Roman" w:hAnsi="Arial" w:cs="Arial"/>
            <w:b/>
            <w:bCs/>
            <w:color w:val="0000FF"/>
            <w:sz w:val="20"/>
            <w:u w:val="single"/>
            <w:lang w:eastAsia="es-ES"/>
          </w:rPr>
          <w:t>Iwan</w:t>
        </w:r>
        <w:proofErr w:type="spellEnd"/>
        <w:r w:rsidR="007C1C84" w:rsidRPr="007C1C84">
          <w:rPr>
            <w:rFonts w:ascii="Arial" w:eastAsia="Times New Roman" w:hAnsi="Arial" w:cs="Arial"/>
            <w:b/>
            <w:bCs/>
            <w:color w:val="0000FF"/>
            <w:sz w:val="20"/>
            <w:u w:val="single"/>
            <w:lang w:eastAsia="es-ES"/>
          </w:rPr>
          <w:t xml:space="preserve"> </w:t>
        </w:r>
        <w:proofErr w:type="spellStart"/>
        <w:r w:rsidR="007C1C84" w:rsidRPr="007C1C84">
          <w:rPr>
            <w:rFonts w:ascii="Arial" w:eastAsia="Times New Roman" w:hAnsi="Arial" w:cs="Arial"/>
            <w:b/>
            <w:bCs/>
            <w:color w:val="0000FF"/>
            <w:sz w:val="20"/>
            <w:u w:val="single"/>
            <w:lang w:eastAsia="es-ES"/>
          </w:rPr>
          <w:t>Demjanjuk</w:t>
        </w:r>
        <w:proofErr w:type="spellEnd"/>
        <w:r w:rsidR="007C1C84" w:rsidRPr="007C1C84">
          <w:rPr>
            <w:rFonts w:ascii="Arial" w:eastAsia="Times New Roman" w:hAnsi="Arial" w:cs="Arial"/>
            <w:b/>
            <w:bCs/>
            <w:color w:val="0000FF"/>
            <w:sz w:val="20"/>
            <w:u w:val="single"/>
            <w:lang w:eastAsia="es-ES"/>
          </w:rPr>
          <w:t>:</w:t>
        </w:r>
      </w:hyperlink>
      <w:hyperlink r:id="rId34" w:anchor="D.%20Iwan%20%28John%29%20Demjanjuk" w:history="1">
        <w:r w:rsidR="007C1C84" w:rsidRPr="007C1C84">
          <w:rPr>
            <w:rFonts w:ascii="Arial" w:eastAsia="Times New Roman" w:hAnsi="Arial" w:cs="Arial"/>
            <w:color w:val="0000FF"/>
            <w:sz w:val="20"/>
            <w:u w:val="single"/>
            <w:lang w:eastAsia="es-ES"/>
          </w:rPr>
          <w:t xml:space="preserve"> Resumen procesal; Hechos probados; Historia procesal; Participación en persecución</w:t>
        </w:r>
      </w:hyperlink>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rPr>
          <w:rFonts w:ascii="Times New Roman" w:eastAsia="Times New Roman" w:hAnsi="Times New Roman" w:cs="Times New Roman"/>
          <w:sz w:val="24"/>
          <w:szCs w:val="24"/>
          <w:lang w:eastAsia="es-ES"/>
        </w:rPr>
      </w:pPr>
      <w:hyperlink r:id="rId35" w:anchor="V.-%20Persecuci%C3%B3n" w:history="1">
        <w:r w:rsidR="007C1C84" w:rsidRPr="007C1C84">
          <w:rPr>
            <w:rFonts w:ascii="Arial" w:eastAsia="Times New Roman" w:hAnsi="Arial" w:cs="Arial"/>
            <w:b/>
            <w:bCs/>
            <w:color w:val="0000FF"/>
            <w:sz w:val="20"/>
            <w:u w:val="single"/>
            <w:lang w:eastAsia="es-ES"/>
          </w:rPr>
          <w:t>V.- PERSECUCIÓN CON FINES DE EXTERMINIO Y PARTICIPACIÓN EN OTROS ACTOS QUE SON CRÍMENES CONTRA LA HUMANIDAD, INCLUIDOS ASESINATO, EXTERMINIO, ESCLAVITUD, DEPORTACIÓN, TORTURA Y OTROS ACTOS INHUMANOS</w:t>
        </w:r>
      </w:hyperlink>
      <w:r w:rsidR="007C1C84" w:rsidRPr="007C1C84">
        <w:rPr>
          <w:rFonts w:ascii="Arial" w:eastAsia="Times New Roman" w:hAnsi="Arial" w:cs="Arial"/>
          <w:b/>
          <w:bCs/>
          <w:sz w:val="20"/>
          <w:szCs w:val="20"/>
          <w:lang w:eastAsia="es-ES"/>
        </w:rPr>
        <w:t>.</w:t>
      </w:r>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rPr>
          <w:rFonts w:ascii="Times New Roman" w:eastAsia="Times New Roman" w:hAnsi="Times New Roman" w:cs="Times New Roman"/>
          <w:sz w:val="24"/>
          <w:szCs w:val="24"/>
          <w:lang w:eastAsia="es-ES"/>
        </w:rPr>
      </w:pPr>
      <w:hyperlink r:id="rId36" w:anchor="VI" w:history="1">
        <w:r w:rsidR="007C1C84" w:rsidRPr="007C1C84">
          <w:rPr>
            <w:rFonts w:ascii="Arial" w:eastAsia="Times New Roman" w:hAnsi="Arial" w:cs="Arial"/>
            <w:b/>
            <w:bCs/>
            <w:color w:val="0000FF"/>
            <w:sz w:val="20"/>
            <w:u w:val="single"/>
            <w:lang w:eastAsia="es-ES"/>
          </w:rPr>
          <w:t>VI.- EXENCIÓN FIANZA</w:t>
        </w:r>
      </w:hyperlink>
      <w:r w:rsidR="007C1C84" w:rsidRPr="007C1C84">
        <w:rPr>
          <w:rFonts w:ascii="Arial" w:eastAsia="Times New Roman" w:hAnsi="Arial" w:cs="Arial"/>
          <w:b/>
          <w:bCs/>
          <w:sz w:val="20"/>
          <w:szCs w:val="20"/>
          <w:lang w:eastAsia="es-ES"/>
        </w:rPr>
        <w:t>.</w:t>
      </w:r>
      <w:r w:rsidR="007C1C84"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rPr>
          <w:rFonts w:ascii="Times New Roman" w:eastAsia="Times New Roman" w:hAnsi="Times New Roman" w:cs="Times New Roman"/>
          <w:sz w:val="24"/>
          <w:szCs w:val="24"/>
          <w:lang w:eastAsia="es-ES"/>
        </w:rPr>
      </w:pPr>
      <w:hyperlink r:id="rId37" w:anchor="DILIGENCIAS" w:history="1">
        <w:r w:rsidR="007C1C84" w:rsidRPr="007C1C84">
          <w:rPr>
            <w:rFonts w:ascii="Arial" w:eastAsia="Times New Roman" w:hAnsi="Arial" w:cs="Arial"/>
            <w:b/>
            <w:bCs/>
            <w:color w:val="0000FF"/>
            <w:sz w:val="20"/>
            <w:u w:val="single"/>
            <w:lang w:eastAsia="es-ES"/>
          </w:rPr>
          <w:t>VII.- DILIGENCIAS A PRACTICAR</w:t>
        </w:r>
      </w:hyperlink>
      <w:r w:rsidR="007C1C84" w:rsidRPr="007C1C84">
        <w:rPr>
          <w:rFonts w:ascii="Arial" w:eastAsia="Times New Roman" w:hAnsi="Arial" w:cs="Arial"/>
          <w:b/>
          <w:bCs/>
          <w:sz w:val="20"/>
          <w:szCs w:val="20"/>
          <w:lang w:eastAsia="es-ES"/>
        </w:rPr>
        <w:t>.</w:t>
      </w:r>
      <w:r w:rsidR="007C1C84" w:rsidRPr="007C1C84">
        <w:rPr>
          <w:rFonts w:ascii="Arial" w:eastAsia="Times New Roman" w:hAnsi="Arial" w:cs="Arial"/>
          <w:sz w:val="20"/>
          <w:szCs w:val="20"/>
          <w:lang w:eastAsia="es-ES"/>
        </w:rPr>
        <w:t xml:space="preserve"> </w:t>
      </w:r>
    </w:p>
    <w:p w:rsidR="007C1C84" w:rsidRPr="007C1C84" w:rsidRDefault="007C1C84" w:rsidP="007C1C84">
      <w:pPr>
        <w:spacing w:after="0" w:line="240" w:lineRule="auto"/>
        <w:jc w:val="center"/>
        <w:rPr>
          <w:rFonts w:ascii="Arial" w:eastAsia="Times New Roman" w:hAnsi="Arial" w:cs="Arial"/>
          <w:b/>
          <w:bCs/>
          <w:sz w:val="20"/>
          <w:szCs w:val="20"/>
          <w:lang w:eastAsia="es-ES"/>
        </w:rPr>
      </w:pPr>
      <w:r w:rsidRPr="007C1C84">
        <w:rPr>
          <w:rFonts w:ascii="Arial" w:eastAsia="Times New Roman" w:hAnsi="Arial" w:cs="Arial"/>
          <w:b/>
          <w:bCs/>
          <w:sz w:val="20"/>
          <w:szCs w:val="20"/>
          <w:lang w:eastAsia="es-ES"/>
        </w:rPr>
        <w:t>* *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b/>
          <w:bCs/>
          <w:sz w:val="20"/>
          <w:szCs w:val="20"/>
          <w:lang w:eastAsia="es-ES"/>
        </w:rPr>
        <w:t>Anexo I: Cuadro sinóptico de pruebas documentales aportadas. (No reproducido)</w:t>
      </w:r>
      <w:r w:rsidRPr="007C1C84">
        <w:rPr>
          <w:rFonts w:ascii="Arial" w:eastAsia="Times New Roman" w:hAnsi="Arial" w:cs="Arial"/>
          <w:sz w:val="20"/>
          <w:szCs w:val="20"/>
          <w:lang w:eastAsia="es-ES"/>
        </w:rPr>
        <w:t xml:space="preserve"> </w:t>
      </w:r>
    </w:p>
    <w:p w:rsidR="007C1C84" w:rsidRPr="007C1C84" w:rsidRDefault="00DF7B82" w:rsidP="007C1C84">
      <w:pPr>
        <w:spacing w:before="100" w:beforeAutospacing="1" w:after="100" w:afterAutospacing="1" w:line="240" w:lineRule="auto"/>
        <w:rPr>
          <w:rFonts w:ascii="Times New Roman" w:eastAsia="Times New Roman" w:hAnsi="Times New Roman" w:cs="Times New Roman"/>
          <w:sz w:val="24"/>
          <w:szCs w:val="24"/>
          <w:lang w:eastAsia="es-ES"/>
        </w:rPr>
      </w:pPr>
      <w:hyperlink r:id="rId38" w:anchor="notadoc" w:history="1">
        <w:r w:rsidR="007C1C84" w:rsidRPr="007C1C84">
          <w:rPr>
            <w:rFonts w:ascii="Arial" w:eastAsia="Times New Roman" w:hAnsi="Arial" w:cs="Arial"/>
            <w:b/>
            <w:bCs/>
            <w:color w:val="0000FF"/>
            <w:sz w:val="20"/>
            <w:u w:val="single"/>
            <w:lang w:eastAsia="es-ES"/>
          </w:rPr>
          <w:t>Nota documental</w:t>
        </w:r>
      </w:hyperlink>
      <w:r w:rsidR="007C1C84" w:rsidRPr="007C1C84">
        <w:rPr>
          <w:rFonts w:ascii="Arial" w:eastAsia="Times New Roman" w:hAnsi="Arial" w:cs="Arial"/>
          <w:b/>
          <w:bCs/>
          <w:sz w:val="20"/>
          <w:szCs w:val="20"/>
          <w:lang w:eastAsia="es-ES"/>
        </w:rPr>
        <w:t xml:space="preserve"> sobre el presente </w:t>
      </w:r>
      <w:bookmarkStart w:id="0" w:name="nzkab"/>
      <w:r w:rsidR="007C1C84" w:rsidRPr="007C1C84">
        <w:rPr>
          <w:rFonts w:ascii="Arial" w:eastAsia="Times New Roman" w:hAnsi="Arial" w:cs="Arial"/>
          <w:b/>
          <w:bCs/>
          <w:sz w:val="20"/>
          <w:szCs w:val="20"/>
          <w:lang w:eastAsia="es-ES"/>
        </w:rPr>
        <w:t>documento.</w:t>
      </w:r>
      <w:bookmarkEnd w:id="0"/>
      <w:r w:rsidR="007C1C84" w:rsidRPr="007C1C84">
        <w:rPr>
          <w:rFonts w:ascii="Arial" w:eastAsia="Times New Roman" w:hAnsi="Arial" w:cs="Arial"/>
          <w:sz w:val="20"/>
          <w:szCs w:val="20"/>
          <w:lang w:eastAsia="es-ES"/>
        </w:rPr>
        <w:t xml:space="preserve"> </w:t>
      </w:r>
    </w:p>
    <w:p w:rsidR="007C1C84" w:rsidRPr="007C1C84" w:rsidRDefault="00DF7B82" w:rsidP="007C1C84">
      <w:pPr>
        <w:spacing w:after="0" w:line="240" w:lineRule="auto"/>
        <w:rPr>
          <w:rFonts w:ascii="Times New Roman" w:eastAsia="Times New Roman" w:hAnsi="Times New Roman" w:cs="Times New Roman"/>
          <w:sz w:val="24"/>
          <w:szCs w:val="24"/>
          <w:lang w:eastAsia="es-ES"/>
        </w:rPr>
      </w:pPr>
      <w:r w:rsidRPr="00DF7B82">
        <w:rPr>
          <w:rFonts w:ascii="Times New Roman" w:eastAsia="Times New Roman" w:hAnsi="Times New Roman" w:cs="Times New Roman"/>
          <w:sz w:val="24"/>
          <w:szCs w:val="24"/>
          <w:lang w:eastAsia="es-ES"/>
        </w:rPr>
        <w:pict>
          <v:rect id="_x0000_i1027" style="width:0;height:1.5pt" o:hralign="center" o:hrstd="t" o:hr="t" fillcolor="#aca899" stroked="f"/>
        </w:pict>
      </w:r>
    </w:p>
    <w:p w:rsidR="007C1C84" w:rsidRPr="007C1C84" w:rsidRDefault="007C1C84" w:rsidP="007C1C8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ES"/>
        </w:rPr>
      </w:pPr>
      <w:r w:rsidRPr="007C1C84">
        <w:rPr>
          <w:rFonts w:ascii="Arial" w:eastAsia="Times New Roman" w:hAnsi="Arial" w:cs="Arial"/>
          <w:b/>
          <w:bCs/>
          <w:sz w:val="27"/>
          <w:szCs w:val="27"/>
          <w:lang w:eastAsia="es-ES"/>
        </w:rPr>
        <w:t xml:space="preserve">AL JUZGADO CENTRAL DE INSTRUCCIÓN </w:t>
      </w:r>
      <w:r w:rsidRPr="007C1C84">
        <w:rPr>
          <w:rFonts w:ascii="Arial" w:eastAsia="Times New Roman" w:hAnsi="Arial" w:cs="Arial"/>
          <w:b/>
          <w:bCs/>
          <w:sz w:val="27"/>
          <w:szCs w:val="27"/>
          <w:lang w:eastAsia="es-ES"/>
        </w:rPr>
        <w:br/>
        <w:t xml:space="preserve">DE LA AUDIENCIA NACIONAL </w:t>
      </w:r>
      <w:r w:rsidRPr="007C1C84">
        <w:rPr>
          <w:rFonts w:ascii="Arial" w:eastAsia="Times New Roman" w:hAnsi="Arial" w:cs="Arial"/>
          <w:b/>
          <w:bCs/>
          <w:sz w:val="27"/>
          <w:szCs w:val="27"/>
          <w:lang w:eastAsia="es-ES"/>
        </w:rPr>
        <w:br/>
        <w:t>QUE POR REPARTO CORRESPONDA</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b/>
          <w:bCs/>
          <w:sz w:val="24"/>
          <w:szCs w:val="24"/>
          <w:lang w:eastAsia="es-ES"/>
        </w:rPr>
        <w:t>Doña A.I.L.A.</w:t>
      </w:r>
      <w:r w:rsidRPr="007C1C84">
        <w:rPr>
          <w:rFonts w:ascii="Arial" w:eastAsia="Times New Roman" w:hAnsi="Arial" w:cs="Arial"/>
          <w:sz w:val="24"/>
          <w:szCs w:val="24"/>
          <w:lang w:eastAsia="es-ES"/>
        </w:rPr>
        <w:t xml:space="preserve">, Procuradora de los Tribunales y de Don DAVID MOYANO TEJERINA, Doña SILVIA DINHOF-CUETO, Doña CONCEPCIÓN RAMÍREZ NARANJO y Don DONATO JESÚS DE COS BORBOLLA, según acredito mediante escritura de poder que acompaño para su unión en los autos por copia cotejada con devolución del original, ante el Juzgado comparezco y como mejor proceda en derecho, DIGO: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lastRenderedPageBreak/>
        <w:t xml:space="preserve">Que mediante el presente escrito, al amparo de lo dispuesto en los Arts. 270 y concordantes de la </w:t>
      </w:r>
      <w:proofErr w:type="spellStart"/>
      <w:r w:rsidRPr="007C1C84">
        <w:rPr>
          <w:rFonts w:ascii="Arial" w:eastAsia="Times New Roman" w:hAnsi="Arial" w:cs="Arial"/>
          <w:sz w:val="24"/>
          <w:szCs w:val="24"/>
          <w:lang w:eastAsia="es-ES"/>
        </w:rPr>
        <w:t>L.E.Cr</w:t>
      </w:r>
      <w:proofErr w:type="spellEnd"/>
      <w:r w:rsidRPr="007C1C84">
        <w:rPr>
          <w:rFonts w:ascii="Arial" w:eastAsia="Times New Roman" w:hAnsi="Arial" w:cs="Arial"/>
          <w:sz w:val="24"/>
          <w:szCs w:val="24"/>
          <w:lang w:eastAsia="es-ES"/>
        </w:rPr>
        <w:t xml:space="preserve">., en relación con el 101 de la misma, vengo a interponer QUERELLA en los términos que a continuación se expresan: </w:t>
      </w:r>
    </w:p>
    <w:p w:rsidR="007C1C84" w:rsidRPr="007C1C84" w:rsidRDefault="00DF7B82" w:rsidP="007C1C84">
      <w:pPr>
        <w:spacing w:after="0" w:line="240" w:lineRule="auto"/>
        <w:jc w:val="center"/>
        <w:rPr>
          <w:rFonts w:ascii="Times New Roman" w:eastAsia="Times New Roman" w:hAnsi="Times New Roman" w:cs="Times New Roman"/>
          <w:sz w:val="24"/>
          <w:szCs w:val="24"/>
          <w:lang w:eastAsia="es-ES"/>
        </w:rPr>
      </w:pPr>
      <w:r w:rsidRPr="00DF7B82">
        <w:rPr>
          <w:rFonts w:ascii="Times New Roman" w:eastAsia="Times New Roman" w:hAnsi="Times New Roman" w:cs="Times New Roman"/>
          <w:sz w:val="24"/>
          <w:szCs w:val="24"/>
          <w:lang w:eastAsia="es-ES"/>
        </w:rPr>
        <w:pict>
          <v:rect id="_x0000_i1028" style="width:212.6pt;height:1.5pt" o:hrpct="500" o:hralign="center" o:hrstd="t" o:hr="t" fillcolor="#aca899" stroked="f"/>
        </w:pict>
      </w:r>
    </w:p>
    <w:p w:rsidR="007C1C84" w:rsidRPr="007C1C84" w:rsidRDefault="007C1C84" w:rsidP="007C1C8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ES"/>
        </w:rPr>
      </w:pPr>
      <w:r w:rsidRPr="007C1C84">
        <w:rPr>
          <w:rFonts w:ascii="Arial" w:eastAsia="Times New Roman" w:hAnsi="Arial" w:cs="Arial"/>
          <w:b/>
          <w:bCs/>
          <w:sz w:val="27"/>
          <w:szCs w:val="27"/>
          <w:lang w:eastAsia="es-ES"/>
        </w:rPr>
        <w:t xml:space="preserve">I </w:t>
      </w:r>
      <w:r w:rsidRPr="007C1C84">
        <w:rPr>
          <w:rFonts w:ascii="Arial" w:eastAsia="Times New Roman" w:hAnsi="Arial" w:cs="Arial"/>
          <w:b/>
          <w:bCs/>
          <w:sz w:val="27"/>
          <w:szCs w:val="27"/>
          <w:lang w:eastAsia="es-ES"/>
        </w:rPr>
        <w:br/>
      </w:r>
      <w:bookmarkStart w:id="1" w:name="HECHOS"/>
      <w:r w:rsidRPr="007C1C84">
        <w:rPr>
          <w:rFonts w:ascii="Arial" w:eastAsia="Times New Roman" w:hAnsi="Arial" w:cs="Arial"/>
          <w:b/>
          <w:bCs/>
          <w:sz w:val="27"/>
          <w:szCs w:val="27"/>
          <w:lang w:eastAsia="es-ES"/>
        </w:rPr>
        <w:t>HECHOS</w:t>
      </w:r>
      <w:bookmarkEnd w:id="1"/>
      <w:r w:rsidRPr="007C1C84">
        <w:rPr>
          <w:rFonts w:ascii="Arial" w:eastAsia="Times New Roman" w:hAnsi="Arial" w:cs="Arial"/>
          <w:b/>
          <w:bCs/>
          <w:sz w:val="27"/>
          <w:szCs w:val="27"/>
          <w:lang w:eastAsia="es-ES"/>
        </w:rPr>
        <w:t>:</w:t>
      </w:r>
    </w:p>
    <w:p w:rsidR="007C1C84" w:rsidRPr="007C1C84" w:rsidRDefault="007C1C84" w:rsidP="007C1C84">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bookmarkStart w:id="2" w:name="I.1."/>
      <w:r w:rsidRPr="007C1C84">
        <w:rPr>
          <w:rFonts w:ascii="Arial" w:eastAsia="Times New Roman" w:hAnsi="Arial" w:cs="Arial"/>
          <w:b/>
          <w:bCs/>
          <w:sz w:val="27"/>
          <w:szCs w:val="27"/>
          <w:lang w:eastAsia="es-ES"/>
        </w:rPr>
        <w:t>I.1.</w:t>
      </w:r>
      <w:bookmarkEnd w:id="2"/>
      <w:r w:rsidRPr="007C1C84">
        <w:rPr>
          <w:rFonts w:ascii="Arial" w:eastAsia="Times New Roman" w:hAnsi="Arial" w:cs="Arial"/>
          <w:b/>
          <w:bCs/>
          <w:sz w:val="27"/>
          <w:szCs w:val="27"/>
          <w:lang w:eastAsia="es-ES"/>
        </w:rPr>
        <w:t xml:space="preserve">- La existencia de víctimas españolas en los campos de concentración nacionalsocialistas de </w:t>
      </w:r>
      <w:proofErr w:type="spellStart"/>
      <w:r w:rsidRPr="007C1C84">
        <w:rPr>
          <w:rFonts w:ascii="Arial" w:eastAsia="Times New Roman" w:hAnsi="Arial" w:cs="Arial"/>
          <w:b/>
          <w:bCs/>
          <w:sz w:val="27"/>
          <w:szCs w:val="27"/>
          <w:lang w:eastAsia="es-ES"/>
        </w:rPr>
        <w:t>Mauthausen</w:t>
      </w:r>
      <w:proofErr w:type="spellEnd"/>
      <w:r w:rsidRPr="007C1C84">
        <w:rPr>
          <w:rFonts w:ascii="Arial" w:eastAsia="Times New Roman" w:hAnsi="Arial" w:cs="Arial"/>
          <w:b/>
          <w:bCs/>
          <w:sz w:val="27"/>
          <w:szCs w:val="27"/>
          <w:lang w:eastAsia="es-ES"/>
        </w:rPr>
        <w:t xml:space="preserve">, </w:t>
      </w:r>
      <w:proofErr w:type="spellStart"/>
      <w:r w:rsidRPr="007C1C84">
        <w:rPr>
          <w:rFonts w:ascii="Arial" w:eastAsia="Times New Roman" w:hAnsi="Arial" w:cs="Arial"/>
          <w:b/>
          <w:bCs/>
          <w:sz w:val="27"/>
          <w:szCs w:val="27"/>
          <w:lang w:eastAsia="es-ES"/>
        </w:rPr>
        <w:t>Sachsenhausen</w:t>
      </w:r>
      <w:proofErr w:type="spellEnd"/>
      <w:r w:rsidRPr="007C1C84">
        <w:rPr>
          <w:rFonts w:ascii="Arial" w:eastAsia="Times New Roman" w:hAnsi="Arial" w:cs="Arial"/>
          <w:b/>
          <w:bCs/>
          <w:sz w:val="27"/>
          <w:szCs w:val="27"/>
          <w:lang w:eastAsia="es-ES"/>
        </w:rPr>
        <w:t xml:space="preserve"> y </w:t>
      </w:r>
      <w:proofErr w:type="spellStart"/>
      <w:r w:rsidRPr="007C1C84">
        <w:rPr>
          <w:rFonts w:ascii="Arial" w:eastAsia="Times New Roman" w:hAnsi="Arial" w:cs="Arial"/>
          <w:b/>
          <w:bCs/>
          <w:sz w:val="27"/>
          <w:szCs w:val="27"/>
          <w:lang w:eastAsia="es-ES"/>
        </w:rPr>
        <w:t>Flossenbürg</w:t>
      </w:r>
      <w:proofErr w:type="spellEnd"/>
      <w:r w:rsidRPr="007C1C84">
        <w:rPr>
          <w:rFonts w:ascii="Arial" w:eastAsia="Times New Roman" w:hAnsi="Arial" w:cs="Arial"/>
          <w:b/>
          <w:bCs/>
          <w:sz w:val="27"/>
          <w:szCs w:val="27"/>
          <w:lang w:eastAsia="es-ES"/>
        </w:rPr>
        <w:t>.</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La evolución del Derecho Penal Internacional, la normativa vigente en materia de enjuiciamiento y castigo de los responsables de crímenes de guerra y crímenes contra la humanidad y los avances jurisprudenciales que se han producido en este sentido en España, han venido a ratificar el hecho de que los tribunales españoles tienen jurisdicción sobre crímenes graves a los derechos humanos cometidos contra nacionales españoles. La persecución de este tipo de crímenes que atentan contra la conciencia común de la humanidad, no constituye únicamente un derecho de los tribunales internos de los estados, sino también una obligación.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b/>
          <w:bCs/>
          <w:sz w:val="24"/>
          <w:szCs w:val="24"/>
          <w:lang w:eastAsia="es-ES"/>
        </w:rPr>
        <w:t xml:space="preserve">La existencia de víctimas españolas en el </w:t>
      </w:r>
      <w:proofErr w:type="spellStart"/>
      <w:r w:rsidRPr="007C1C84">
        <w:rPr>
          <w:rFonts w:ascii="Arial" w:eastAsia="Times New Roman" w:hAnsi="Arial" w:cs="Arial"/>
          <w:b/>
          <w:bCs/>
          <w:i/>
          <w:iCs/>
          <w:sz w:val="24"/>
          <w:szCs w:val="24"/>
          <w:lang w:eastAsia="es-ES"/>
        </w:rPr>
        <w:t>Konzentrationslager</w:t>
      </w:r>
      <w:proofErr w:type="spellEnd"/>
      <w:r w:rsidRPr="007C1C84">
        <w:rPr>
          <w:rFonts w:ascii="Arial" w:eastAsia="Times New Roman" w:hAnsi="Arial" w:cs="Arial"/>
          <w:b/>
          <w:bCs/>
          <w:sz w:val="24"/>
          <w:szCs w:val="24"/>
          <w:lang w:eastAsia="es-ES"/>
        </w:rPr>
        <w:t xml:space="preserve"> (KL) de </w:t>
      </w:r>
      <w:proofErr w:type="spellStart"/>
      <w:r w:rsidRPr="007C1C84">
        <w:rPr>
          <w:rFonts w:ascii="Arial" w:eastAsia="Times New Roman" w:hAnsi="Arial" w:cs="Arial"/>
          <w:b/>
          <w:bCs/>
          <w:sz w:val="24"/>
          <w:szCs w:val="24"/>
          <w:lang w:eastAsia="es-ES"/>
        </w:rPr>
        <w:t>Mauthausen</w:t>
      </w:r>
      <w:proofErr w:type="spellEnd"/>
      <w:r w:rsidRPr="007C1C84">
        <w:rPr>
          <w:rFonts w:ascii="Arial" w:eastAsia="Times New Roman" w:hAnsi="Arial" w:cs="Arial"/>
          <w:b/>
          <w:bCs/>
          <w:sz w:val="24"/>
          <w:szCs w:val="24"/>
          <w:lang w:eastAsia="es-ES"/>
        </w:rPr>
        <w:t>:</w:t>
      </w:r>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En el campo de concentración nacionalsocialista de </w:t>
      </w:r>
      <w:proofErr w:type="spellStart"/>
      <w:r w:rsidRPr="007C1C84">
        <w:rPr>
          <w:rFonts w:ascii="Arial" w:eastAsia="Times New Roman" w:hAnsi="Arial" w:cs="Arial"/>
          <w:sz w:val="24"/>
          <w:szCs w:val="24"/>
          <w:lang w:eastAsia="es-ES"/>
        </w:rPr>
        <w:t>Mauthausen</w:t>
      </w:r>
      <w:proofErr w:type="spellEnd"/>
      <w:r w:rsidRPr="007C1C84">
        <w:rPr>
          <w:rFonts w:ascii="Arial" w:eastAsia="Times New Roman" w:hAnsi="Arial" w:cs="Arial"/>
          <w:sz w:val="24"/>
          <w:szCs w:val="24"/>
          <w:lang w:eastAsia="es-ES"/>
        </w:rPr>
        <w:t xml:space="preserve">, según las pruebas presentadas ante distintos tribunales -principalmente ante el Tribunal Militar Internacional para el Enjuiciamiento de los Principales Criminales de Guerra (en adelante "el Tribunal de </w:t>
      </w:r>
      <w:proofErr w:type="spellStart"/>
      <w:r w:rsidRPr="007C1C84">
        <w:rPr>
          <w:rFonts w:ascii="Arial" w:eastAsia="Times New Roman" w:hAnsi="Arial" w:cs="Arial"/>
          <w:sz w:val="24"/>
          <w:szCs w:val="24"/>
          <w:lang w:eastAsia="es-ES"/>
        </w:rPr>
        <w:t>Nuremberg</w:t>
      </w:r>
      <w:proofErr w:type="spellEnd"/>
      <w:r w:rsidRPr="007C1C84">
        <w:rPr>
          <w:rFonts w:ascii="Arial" w:eastAsia="Times New Roman" w:hAnsi="Arial" w:cs="Arial"/>
          <w:sz w:val="24"/>
          <w:szCs w:val="24"/>
          <w:lang w:eastAsia="es-ES"/>
        </w:rPr>
        <w:t xml:space="preserve">"), el Tribunal Militar estadounidense que enjuició a los principales responsables de este campo de concentración en el conocido como </w:t>
      </w:r>
      <w:r w:rsidRPr="007C1C84">
        <w:rPr>
          <w:rFonts w:ascii="Arial" w:eastAsia="Times New Roman" w:hAnsi="Arial" w:cs="Arial"/>
          <w:i/>
          <w:iCs/>
          <w:sz w:val="24"/>
          <w:szCs w:val="24"/>
          <w:lang w:eastAsia="es-ES"/>
        </w:rPr>
        <w:t xml:space="preserve">caso </w:t>
      </w:r>
      <w:proofErr w:type="spellStart"/>
      <w:r w:rsidRPr="007C1C84">
        <w:rPr>
          <w:rFonts w:ascii="Arial" w:eastAsia="Times New Roman" w:hAnsi="Arial" w:cs="Arial"/>
          <w:i/>
          <w:iCs/>
          <w:sz w:val="24"/>
          <w:szCs w:val="24"/>
          <w:lang w:eastAsia="es-ES"/>
        </w:rPr>
        <w:t>Altfuldisch</w:t>
      </w:r>
      <w:proofErr w:type="spellEnd"/>
      <w:r w:rsidRPr="007C1C84">
        <w:rPr>
          <w:rFonts w:ascii="Arial" w:eastAsia="Times New Roman" w:hAnsi="Arial" w:cs="Arial"/>
          <w:i/>
          <w:iCs/>
          <w:sz w:val="24"/>
          <w:szCs w:val="24"/>
          <w:lang w:eastAsia="es-ES"/>
        </w:rPr>
        <w:t xml:space="preserve"> </w:t>
      </w:r>
      <w:r w:rsidRPr="007C1C84">
        <w:rPr>
          <w:rFonts w:ascii="Arial" w:eastAsia="Times New Roman" w:hAnsi="Arial" w:cs="Arial"/>
          <w:sz w:val="24"/>
          <w:szCs w:val="24"/>
          <w:lang w:eastAsia="es-ES"/>
        </w:rPr>
        <w:t xml:space="preserve">(en el marco de los llamados "juicios de </w:t>
      </w:r>
      <w:proofErr w:type="spellStart"/>
      <w:r w:rsidRPr="007C1C84">
        <w:rPr>
          <w:rFonts w:ascii="Arial" w:eastAsia="Times New Roman" w:hAnsi="Arial" w:cs="Arial"/>
          <w:sz w:val="24"/>
          <w:szCs w:val="24"/>
          <w:lang w:eastAsia="es-ES"/>
        </w:rPr>
        <w:t>Dachau</w:t>
      </w:r>
      <w:proofErr w:type="spellEnd"/>
      <w:r w:rsidRPr="007C1C84">
        <w:rPr>
          <w:rFonts w:ascii="Arial" w:eastAsia="Times New Roman" w:hAnsi="Arial" w:cs="Arial"/>
          <w:sz w:val="24"/>
          <w:szCs w:val="24"/>
          <w:lang w:eastAsia="es-ES"/>
        </w:rPr>
        <w:t xml:space="preserve">"), o en el conocido como "juicio de Colonia" de 1967-, estuvieron prisioneros más de 7.000 españoles, de los cuales murieron más de 4.300.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Solamente en los registros contenidos en los llamados "</w:t>
      </w:r>
      <w:proofErr w:type="spellStart"/>
      <w:r w:rsidRPr="007C1C84">
        <w:rPr>
          <w:rFonts w:ascii="Arial" w:eastAsia="Times New Roman" w:hAnsi="Arial" w:cs="Arial"/>
          <w:sz w:val="24"/>
          <w:szCs w:val="24"/>
          <w:lang w:eastAsia="es-ES"/>
        </w:rPr>
        <w:t>Totenbuch</w:t>
      </w:r>
      <w:proofErr w:type="spellEnd"/>
      <w:r w:rsidRPr="007C1C84">
        <w:rPr>
          <w:rFonts w:ascii="Arial" w:eastAsia="Times New Roman" w:hAnsi="Arial" w:cs="Arial"/>
          <w:sz w:val="24"/>
          <w:szCs w:val="24"/>
          <w:lang w:eastAsia="es-ES"/>
        </w:rPr>
        <w:t xml:space="preserve">" o Libros de la Muerte de </w:t>
      </w:r>
      <w:proofErr w:type="spellStart"/>
      <w:r w:rsidRPr="007C1C84">
        <w:rPr>
          <w:rFonts w:ascii="Arial" w:eastAsia="Times New Roman" w:hAnsi="Arial" w:cs="Arial"/>
          <w:sz w:val="24"/>
          <w:szCs w:val="24"/>
          <w:lang w:eastAsia="es-ES"/>
        </w:rPr>
        <w:t>Mauthausen</w:t>
      </w:r>
      <w:proofErr w:type="spellEnd"/>
      <w:r w:rsidRPr="007C1C84">
        <w:rPr>
          <w:rFonts w:ascii="Arial" w:eastAsia="Times New Roman" w:hAnsi="Arial" w:cs="Arial"/>
          <w:sz w:val="24"/>
          <w:szCs w:val="24"/>
          <w:lang w:eastAsia="es-ES"/>
        </w:rPr>
        <w:t xml:space="preserve">, que se consiguieron salvar de la destrucción y fueron puestos a disposición de la comisión estadounidense que investigó los crímenes cometidos en el campo, aparecen registrados como ejecutados más de cuatrocientos españoles de los miles que allí fueron exterminados.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Como se detallará en el epígrafe dedicado a hechos probados acaecidos en este campo de concentración, en los </w:t>
      </w:r>
      <w:proofErr w:type="spellStart"/>
      <w:r w:rsidRPr="007C1C84">
        <w:rPr>
          <w:rFonts w:ascii="Arial" w:eastAsia="Times New Roman" w:hAnsi="Arial" w:cs="Arial"/>
          <w:i/>
          <w:iCs/>
          <w:sz w:val="24"/>
          <w:szCs w:val="24"/>
          <w:lang w:eastAsia="es-ES"/>
        </w:rPr>
        <w:t>Totenbuch</w:t>
      </w:r>
      <w:proofErr w:type="spellEnd"/>
      <w:r w:rsidRPr="007C1C84">
        <w:rPr>
          <w:rFonts w:ascii="Arial" w:eastAsia="Times New Roman" w:hAnsi="Arial" w:cs="Arial"/>
          <w:sz w:val="24"/>
          <w:szCs w:val="24"/>
          <w:lang w:eastAsia="es-ES"/>
        </w:rPr>
        <w:t xml:space="preserve"> figuran los nombres de las víctimas, su nacionalidad, el lugar y la fecha de nacimiento, la causa de la muerte, la fecha y hora de ésta... Se trata de una serie de libros diarios donde se registraron algunas de las muertes ocurridas en el campo. Siete de estos libros, en cuya portada decía "</w:t>
      </w:r>
      <w:proofErr w:type="spellStart"/>
      <w:r w:rsidRPr="007C1C84">
        <w:rPr>
          <w:rFonts w:ascii="Arial" w:eastAsia="Times New Roman" w:hAnsi="Arial" w:cs="Arial"/>
          <w:sz w:val="24"/>
          <w:szCs w:val="24"/>
          <w:lang w:eastAsia="es-ES"/>
        </w:rPr>
        <w:t>Totenbuch</w:t>
      </w:r>
      <w:proofErr w:type="spellEnd"/>
      <w:r w:rsidRPr="007C1C84">
        <w:rPr>
          <w:rFonts w:ascii="Arial" w:eastAsia="Times New Roman" w:hAnsi="Arial" w:cs="Arial"/>
          <w:sz w:val="24"/>
          <w:szCs w:val="24"/>
          <w:lang w:eastAsia="es-ES"/>
        </w:rPr>
        <w:t xml:space="preserve"> - </w:t>
      </w:r>
      <w:proofErr w:type="spellStart"/>
      <w:r w:rsidRPr="007C1C84">
        <w:rPr>
          <w:rFonts w:ascii="Arial" w:eastAsia="Times New Roman" w:hAnsi="Arial" w:cs="Arial"/>
          <w:sz w:val="24"/>
          <w:szCs w:val="24"/>
          <w:lang w:eastAsia="es-ES"/>
        </w:rPr>
        <w:t>Mauthausen</w:t>
      </w:r>
      <w:proofErr w:type="spellEnd"/>
      <w:r w:rsidRPr="007C1C84">
        <w:rPr>
          <w:rFonts w:ascii="Arial" w:eastAsia="Times New Roman" w:hAnsi="Arial" w:cs="Arial"/>
          <w:sz w:val="24"/>
          <w:szCs w:val="24"/>
          <w:lang w:eastAsia="es-ES"/>
        </w:rPr>
        <w:t xml:space="preserve">", fueron presentados por la fiscalía de Estados Unidos como Documento Núm. 493-PS, Prueba Nº USA-251 al Tribunal Internacional de </w:t>
      </w:r>
      <w:proofErr w:type="spellStart"/>
      <w:r w:rsidRPr="007C1C84">
        <w:rPr>
          <w:rFonts w:ascii="Arial" w:eastAsia="Times New Roman" w:hAnsi="Arial" w:cs="Arial"/>
          <w:sz w:val="24"/>
          <w:szCs w:val="24"/>
          <w:lang w:eastAsia="es-ES"/>
        </w:rPr>
        <w:t>Nuremberg</w:t>
      </w:r>
      <w:proofErr w:type="spellEnd"/>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lastRenderedPageBreak/>
        <w:t xml:space="preserve">Las tropas de liberación de Estados Unidos encontraron esos libros en el campo y los incautaron. Cubren las muertes de algunos prisioneros en el período del 7 de enero de 1939 hasta el 29 de abril de 1945. Los listados de muertes de prisioneros se organizan en una tabla con varias columnas, las cuales recogen el nombre de los prisioneros, el lugar de nacimiento, la causa que se asignó a su muerte y la hora de la muerte de cada individuo. Además, a cada cuerpo se le asigna un número de serie, y, siguiendo la explicación del fiscal de los Estados Unidos ante el Tribunal de </w:t>
      </w:r>
      <w:proofErr w:type="spellStart"/>
      <w:r w:rsidRPr="007C1C84">
        <w:rPr>
          <w:rFonts w:ascii="Arial" w:eastAsia="Times New Roman" w:hAnsi="Arial" w:cs="Arial"/>
          <w:sz w:val="24"/>
          <w:szCs w:val="24"/>
          <w:lang w:eastAsia="es-ES"/>
        </w:rPr>
        <w:t>Nuremberg</w:t>
      </w:r>
      <w:proofErr w:type="spellEnd"/>
      <w:r w:rsidRPr="007C1C84">
        <w:rPr>
          <w:rFonts w:ascii="Arial" w:eastAsia="Times New Roman" w:hAnsi="Arial" w:cs="Arial"/>
          <w:sz w:val="24"/>
          <w:szCs w:val="24"/>
          <w:lang w:eastAsia="es-ES"/>
        </w:rPr>
        <w:t xml:space="preserve"> "la suma de la totalidad de los números de serie </w:t>
      </w:r>
      <w:bookmarkStart w:id="3" w:name="parae"/>
      <w:r w:rsidRPr="007C1C84">
        <w:rPr>
          <w:rFonts w:ascii="Arial" w:eastAsia="Times New Roman" w:hAnsi="Arial" w:cs="Arial"/>
          <w:sz w:val="24"/>
          <w:szCs w:val="24"/>
          <w:lang w:eastAsia="es-ES"/>
        </w:rPr>
        <w:t xml:space="preserve">para el </w:t>
      </w:r>
      <w:bookmarkEnd w:id="3"/>
      <w:r w:rsidRPr="007C1C84">
        <w:rPr>
          <w:rFonts w:ascii="Arial" w:eastAsia="Times New Roman" w:hAnsi="Arial" w:cs="Arial"/>
          <w:sz w:val="24"/>
          <w:szCs w:val="24"/>
          <w:lang w:eastAsia="es-ES"/>
        </w:rPr>
        <w:t xml:space="preserve">período de 5 años arroja la cifra de 35.318" </w:t>
      </w:r>
      <w:hyperlink r:id="rId39" w:anchor="N_1_" w:history="1">
        <w:r w:rsidRPr="007C1C84">
          <w:rPr>
            <w:rFonts w:ascii="Arial" w:eastAsia="Times New Roman" w:hAnsi="Arial" w:cs="Arial"/>
            <w:color w:val="0000FF"/>
            <w:sz w:val="24"/>
            <w:szCs w:val="24"/>
            <w:u w:val="single"/>
            <w:lang w:eastAsia="es-ES"/>
          </w:rPr>
          <w:t>|1|</w:t>
        </w:r>
      </w:hyperlink>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"El examen de los libros revela la rutina mortuoria del campo. Por ejemplo, las páginas 568 a 582 del volumen 5 cubre los registros de muertes del 19 de marzo de 1945 entre </w:t>
      </w:r>
      <w:proofErr w:type="gramStart"/>
      <w:r w:rsidRPr="007C1C84">
        <w:rPr>
          <w:rFonts w:ascii="Arial" w:eastAsia="Times New Roman" w:hAnsi="Arial" w:cs="Arial"/>
          <w:sz w:val="24"/>
          <w:szCs w:val="24"/>
          <w:lang w:eastAsia="es-ES"/>
        </w:rPr>
        <w:t>la</w:t>
      </w:r>
      <w:proofErr w:type="gramEnd"/>
      <w:r w:rsidRPr="007C1C84">
        <w:rPr>
          <w:rFonts w:ascii="Arial" w:eastAsia="Times New Roman" w:hAnsi="Arial" w:cs="Arial"/>
          <w:sz w:val="24"/>
          <w:szCs w:val="24"/>
          <w:lang w:eastAsia="es-ES"/>
        </w:rPr>
        <w:t xml:space="preserve"> una y quince minutos de la madrugada y las 2 en punto de la tarde. En este lapso de tiempo de 12 horas y tres cuartos, se registra la muerte de 203 personas. Se les asignan números de serie que van del 8390 al 8593. Se enumeran los nombres de los muertos. Se registra a cada una de las víctimas como muertas a causa de la misma afección "problemas cardíacos". Murieron en intervalos cortos de tiempo. Murieron en orden alfabético. El primero en morir fue un hombre de apellido </w:t>
      </w:r>
      <w:proofErr w:type="spellStart"/>
      <w:r w:rsidRPr="007C1C84">
        <w:rPr>
          <w:rFonts w:ascii="Arial" w:eastAsia="Times New Roman" w:hAnsi="Arial" w:cs="Arial"/>
          <w:sz w:val="24"/>
          <w:szCs w:val="24"/>
          <w:lang w:eastAsia="es-ES"/>
        </w:rPr>
        <w:t>Ackermann</w:t>
      </w:r>
      <w:proofErr w:type="spellEnd"/>
      <w:r w:rsidRPr="007C1C84">
        <w:rPr>
          <w:rFonts w:ascii="Arial" w:eastAsia="Times New Roman" w:hAnsi="Arial" w:cs="Arial"/>
          <w:sz w:val="24"/>
          <w:szCs w:val="24"/>
          <w:lang w:eastAsia="es-ES"/>
        </w:rPr>
        <w:t xml:space="preserve">, que murió a la una y quince. El último fue un hombre llamado </w:t>
      </w:r>
      <w:proofErr w:type="spellStart"/>
      <w:r w:rsidRPr="007C1C84">
        <w:rPr>
          <w:rFonts w:ascii="Arial" w:eastAsia="Times New Roman" w:hAnsi="Arial" w:cs="Arial"/>
          <w:sz w:val="24"/>
          <w:szCs w:val="24"/>
          <w:lang w:eastAsia="es-ES"/>
        </w:rPr>
        <w:t>Zynger</w:t>
      </w:r>
      <w:proofErr w:type="spellEnd"/>
      <w:r w:rsidRPr="007C1C84">
        <w:rPr>
          <w:rFonts w:ascii="Arial" w:eastAsia="Times New Roman" w:hAnsi="Arial" w:cs="Arial"/>
          <w:sz w:val="24"/>
          <w:szCs w:val="24"/>
          <w:lang w:eastAsia="es-ES"/>
        </w:rPr>
        <w:t xml:space="preserve">, que murió a las 2 p.m.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A las dos y veinte de la tarde del mismo día, el 19 de marzo de 1945, comienza de nuevo la lista, y se sigue hasta las cuatro y media. En el transcurso de dos horas murieron 75 personas más. Nuevamente murieron de insuficiencia cardíaca y en orden alfabético. Estas entradas se inscribieron en el mismo</w:t>
      </w:r>
      <w:bookmarkStart w:id="4" w:name="volum"/>
      <w:r w:rsidRPr="007C1C84">
        <w:rPr>
          <w:rFonts w:ascii="Arial" w:eastAsia="Times New Roman" w:hAnsi="Arial" w:cs="Arial"/>
          <w:sz w:val="24"/>
          <w:szCs w:val="24"/>
          <w:lang w:eastAsia="es-ES"/>
        </w:rPr>
        <w:t xml:space="preserve"> volumen, </w:t>
      </w:r>
      <w:bookmarkEnd w:id="4"/>
      <w:r w:rsidRPr="007C1C84">
        <w:rPr>
          <w:rFonts w:ascii="Arial" w:eastAsia="Times New Roman" w:hAnsi="Arial" w:cs="Arial"/>
          <w:sz w:val="24"/>
          <w:szCs w:val="24"/>
          <w:lang w:eastAsia="es-ES"/>
        </w:rPr>
        <w:t xml:space="preserve">en las páginas 582 a 586". </w:t>
      </w:r>
      <w:hyperlink r:id="rId40" w:anchor="N_2_" w:history="1">
        <w:r w:rsidRPr="007C1C84">
          <w:rPr>
            <w:rFonts w:ascii="Arial" w:eastAsia="Times New Roman" w:hAnsi="Arial" w:cs="Arial"/>
            <w:color w:val="0000FF"/>
            <w:sz w:val="24"/>
            <w:szCs w:val="24"/>
            <w:u w:val="single"/>
            <w:lang w:eastAsia="es-ES"/>
          </w:rPr>
          <w:t>|2|</w:t>
        </w:r>
      </w:hyperlink>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Los Libros de la Muerte ("</w:t>
      </w:r>
      <w:proofErr w:type="spellStart"/>
      <w:r w:rsidRPr="007C1C84">
        <w:rPr>
          <w:rFonts w:ascii="Arial" w:eastAsia="Times New Roman" w:hAnsi="Arial" w:cs="Arial"/>
          <w:sz w:val="24"/>
          <w:szCs w:val="24"/>
          <w:lang w:eastAsia="es-ES"/>
        </w:rPr>
        <w:t>Totenbuch</w:t>
      </w:r>
      <w:proofErr w:type="spellEnd"/>
      <w:r w:rsidRPr="007C1C84">
        <w:rPr>
          <w:rFonts w:ascii="Arial" w:eastAsia="Times New Roman" w:hAnsi="Arial" w:cs="Arial"/>
          <w:sz w:val="24"/>
          <w:szCs w:val="24"/>
          <w:lang w:eastAsia="es-ES"/>
        </w:rPr>
        <w:t xml:space="preserve"> - </w:t>
      </w:r>
      <w:proofErr w:type="spellStart"/>
      <w:r w:rsidRPr="007C1C84">
        <w:rPr>
          <w:rFonts w:ascii="Arial" w:eastAsia="Times New Roman" w:hAnsi="Arial" w:cs="Arial"/>
          <w:sz w:val="24"/>
          <w:szCs w:val="24"/>
          <w:lang w:eastAsia="es-ES"/>
        </w:rPr>
        <w:t>Mauthausen</w:t>
      </w:r>
      <w:proofErr w:type="spellEnd"/>
      <w:r w:rsidRPr="007C1C84">
        <w:rPr>
          <w:rFonts w:ascii="Arial" w:eastAsia="Times New Roman" w:hAnsi="Arial" w:cs="Arial"/>
          <w:sz w:val="24"/>
          <w:szCs w:val="24"/>
          <w:lang w:eastAsia="es-ES"/>
        </w:rPr>
        <w:t xml:space="preserve">") se adjuntan a la presente querella (Documento No. 1), en soporte digital, así como una selección de las páginas de los mismos en donde se hallan registradas víctimas españolas (Documento No. 2). Su autenticidad está garantizada por los propios Archivos Nacionales de los Estados Unidos, y su valor probatorio es indiscutible.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Se aportan adicionalmente los listados de más de 3.000 víctimas españolas en este campo, obtenidos a través del Archivo Nacional de los Estados Unidos (NARA Roll-163 - A3355 // RG-242 // 20 </w:t>
      </w:r>
      <w:proofErr w:type="spellStart"/>
      <w:r w:rsidRPr="007C1C84">
        <w:rPr>
          <w:rFonts w:ascii="Arial" w:eastAsia="Times New Roman" w:hAnsi="Arial" w:cs="Arial"/>
          <w:sz w:val="24"/>
          <w:szCs w:val="24"/>
          <w:lang w:eastAsia="es-ES"/>
        </w:rPr>
        <w:t>jul</w:t>
      </w:r>
      <w:proofErr w:type="spellEnd"/>
      <w:r w:rsidRPr="007C1C84">
        <w:rPr>
          <w:rFonts w:ascii="Arial" w:eastAsia="Times New Roman" w:hAnsi="Arial" w:cs="Arial"/>
          <w:sz w:val="24"/>
          <w:szCs w:val="24"/>
          <w:lang w:eastAsia="es-ES"/>
        </w:rPr>
        <w:t xml:space="preserve"> 1945) y con origen en la base de datos del International </w:t>
      </w:r>
      <w:proofErr w:type="spellStart"/>
      <w:r w:rsidRPr="007C1C84">
        <w:rPr>
          <w:rFonts w:ascii="Arial" w:eastAsia="Times New Roman" w:hAnsi="Arial" w:cs="Arial"/>
          <w:sz w:val="24"/>
          <w:szCs w:val="24"/>
          <w:lang w:eastAsia="es-ES"/>
        </w:rPr>
        <w:t>Tracing</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Service</w:t>
      </w:r>
      <w:proofErr w:type="spellEnd"/>
      <w:r w:rsidRPr="007C1C84">
        <w:rPr>
          <w:rFonts w:ascii="Arial" w:eastAsia="Times New Roman" w:hAnsi="Arial" w:cs="Arial"/>
          <w:sz w:val="24"/>
          <w:szCs w:val="24"/>
          <w:lang w:eastAsia="es-ES"/>
        </w:rPr>
        <w:t xml:space="preserve">, organismo cuya descripción se proporciona más adelante.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No constituyen la única prueba incontrovertible -tanto por el origen de la misma como por haber pasado el principio de contradicción de prueba- de la existencia de víctimas españolas en el campo de </w:t>
      </w:r>
      <w:proofErr w:type="spellStart"/>
      <w:r w:rsidRPr="007C1C84">
        <w:rPr>
          <w:rFonts w:ascii="Arial" w:eastAsia="Times New Roman" w:hAnsi="Arial" w:cs="Arial"/>
          <w:sz w:val="24"/>
          <w:szCs w:val="24"/>
          <w:lang w:eastAsia="es-ES"/>
        </w:rPr>
        <w:t>Mauthausen</w:t>
      </w:r>
      <w:proofErr w:type="spellEnd"/>
      <w:r w:rsidRPr="007C1C84">
        <w:rPr>
          <w:rFonts w:ascii="Arial" w:eastAsia="Times New Roman" w:hAnsi="Arial" w:cs="Arial"/>
          <w:sz w:val="24"/>
          <w:szCs w:val="24"/>
          <w:lang w:eastAsia="es-ES"/>
        </w:rPr>
        <w:t xml:space="preserve">, como se expondrá en mayor detalle en el epígrafe dedicado a hechos probados relativos a este campo.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b/>
          <w:bCs/>
          <w:sz w:val="24"/>
          <w:szCs w:val="24"/>
          <w:lang w:eastAsia="es-ES"/>
        </w:rPr>
        <w:t xml:space="preserve">La existencia de víctimas españolas en el KL de </w:t>
      </w:r>
      <w:proofErr w:type="spellStart"/>
      <w:r w:rsidRPr="007C1C84">
        <w:rPr>
          <w:rFonts w:ascii="Arial" w:eastAsia="Times New Roman" w:hAnsi="Arial" w:cs="Arial"/>
          <w:b/>
          <w:bCs/>
          <w:sz w:val="24"/>
          <w:szCs w:val="24"/>
          <w:lang w:eastAsia="es-ES"/>
        </w:rPr>
        <w:t>Sachsenhausen</w:t>
      </w:r>
      <w:proofErr w:type="spellEnd"/>
      <w:r w:rsidRPr="007C1C84">
        <w:rPr>
          <w:rFonts w:ascii="Arial" w:eastAsia="Times New Roman" w:hAnsi="Arial" w:cs="Arial"/>
          <w:b/>
          <w:bCs/>
          <w:sz w:val="24"/>
          <w:szCs w:val="24"/>
          <w:lang w:eastAsia="es-ES"/>
        </w:rPr>
        <w:t>:</w:t>
      </w:r>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Este campo de concentración fue liberado el 22 de abril de 1945 por la unidad 47ª del ejército soviético y la 2ª División de Infantería polaca, por lo que la </w:t>
      </w:r>
      <w:r w:rsidRPr="007C1C84">
        <w:rPr>
          <w:rFonts w:ascii="Arial" w:eastAsia="Times New Roman" w:hAnsi="Arial" w:cs="Arial"/>
          <w:sz w:val="24"/>
          <w:szCs w:val="24"/>
          <w:lang w:eastAsia="es-ES"/>
        </w:rPr>
        <w:lastRenderedPageBreak/>
        <w:t xml:space="preserve">documentación incautada sobre este campo se halla depositada, en gran parte, en archivos rusos.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La información existente correspondiente a los registros de prisioneros se halla disponible a través del "International </w:t>
      </w:r>
      <w:proofErr w:type="spellStart"/>
      <w:r w:rsidRPr="007C1C84">
        <w:rPr>
          <w:rFonts w:ascii="Arial" w:eastAsia="Times New Roman" w:hAnsi="Arial" w:cs="Arial"/>
          <w:sz w:val="24"/>
          <w:szCs w:val="24"/>
          <w:lang w:eastAsia="es-ES"/>
        </w:rPr>
        <w:t>Tracing</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Service</w:t>
      </w:r>
      <w:proofErr w:type="spellEnd"/>
      <w:r w:rsidRPr="007C1C84">
        <w:rPr>
          <w:rFonts w:ascii="Arial" w:eastAsia="Times New Roman" w:hAnsi="Arial" w:cs="Arial"/>
          <w:sz w:val="24"/>
          <w:szCs w:val="24"/>
          <w:lang w:eastAsia="es-ES"/>
        </w:rPr>
        <w:t xml:space="preserve">" (Servicio Internacional de Localización), entidad que tienen su origen en el Departamento que se creó en 1943 en el seno de la Cruz Roja Británica, por iniciativa de la fuerzas aliadas, para comenzar con el trabajo de localización y registro de personas cuyo paradero era desconocido. Este trabajo daría lugar a que el 15 de febrero de 1944 se estableciera el "Central </w:t>
      </w:r>
      <w:proofErr w:type="spellStart"/>
      <w:r w:rsidRPr="007C1C84">
        <w:rPr>
          <w:rFonts w:ascii="Arial" w:eastAsia="Times New Roman" w:hAnsi="Arial" w:cs="Arial"/>
          <w:sz w:val="24"/>
          <w:szCs w:val="24"/>
          <w:lang w:eastAsia="es-ES"/>
        </w:rPr>
        <w:t>Tracing</w:t>
      </w:r>
      <w:proofErr w:type="spellEnd"/>
      <w:r w:rsidRPr="007C1C84">
        <w:rPr>
          <w:rFonts w:ascii="Arial" w:eastAsia="Times New Roman" w:hAnsi="Arial" w:cs="Arial"/>
          <w:sz w:val="24"/>
          <w:szCs w:val="24"/>
          <w:lang w:eastAsia="es-ES"/>
        </w:rPr>
        <w:t xml:space="preserve"> Bureau" u Oficina Central de Localización, que acabaría teniendo su sede, desde enero de 1946, en </w:t>
      </w:r>
      <w:proofErr w:type="spellStart"/>
      <w:r w:rsidRPr="007C1C84">
        <w:rPr>
          <w:rFonts w:ascii="Arial" w:eastAsia="Times New Roman" w:hAnsi="Arial" w:cs="Arial"/>
          <w:sz w:val="24"/>
          <w:szCs w:val="24"/>
          <w:lang w:eastAsia="es-ES"/>
        </w:rPr>
        <w:t>Bad</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Arolsen</w:t>
      </w:r>
      <w:proofErr w:type="spellEnd"/>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El 1 de julio de 1947 la Organización Internacional para los Refugiados se hizo cargo del "Central </w:t>
      </w:r>
      <w:proofErr w:type="spellStart"/>
      <w:r w:rsidRPr="007C1C84">
        <w:rPr>
          <w:rFonts w:ascii="Arial" w:eastAsia="Times New Roman" w:hAnsi="Arial" w:cs="Arial"/>
          <w:sz w:val="24"/>
          <w:szCs w:val="24"/>
          <w:lang w:eastAsia="es-ES"/>
        </w:rPr>
        <w:t>Tracing</w:t>
      </w:r>
      <w:proofErr w:type="spellEnd"/>
      <w:r w:rsidRPr="007C1C84">
        <w:rPr>
          <w:rFonts w:ascii="Arial" w:eastAsia="Times New Roman" w:hAnsi="Arial" w:cs="Arial"/>
          <w:sz w:val="24"/>
          <w:szCs w:val="24"/>
          <w:lang w:eastAsia="es-ES"/>
        </w:rPr>
        <w:t xml:space="preserve"> Bureau" y en 1948 se le dio el nombre de "International </w:t>
      </w:r>
      <w:proofErr w:type="spellStart"/>
      <w:r w:rsidRPr="007C1C84">
        <w:rPr>
          <w:rFonts w:ascii="Arial" w:eastAsia="Times New Roman" w:hAnsi="Arial" w:cs="Arial"/>
          <w:sz w:val="24"/>
          <w:szCs w:val="24"/>
          <w:lang w:eastAsia="es-ES"/>
        </w:rPr>
        <w:t>Tracing</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Service</w:t>
      </w:r>
      <w:proofErr w:type="spellEnd"/>
      <w:r w:rsidRPr="007C1C84">
        <w:rPr>
          <w:rFonts w:ascii="Arial" w:eastAsia="Times New Roman" w:hAnsi="Arial" w:cs="Arial"/>
          <w:sz w:val="24"/>
          <w:szCs w:val="24"/>
          <w:lang w:eastAsia="es-ES"/>
        </w:rPr>
        <w:t xml:space="preserve">" (ITS), por el que esta oficina es conocida hoy.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En abril de 1951 la dirección del ITS pasó a la HICOG (</w:t>
      </w:r>
      <w:proofErr w:type="spellStart"/>
      <w:r w:rsidRPr="007C1C84">
        <w:rPr>
          <w:rFonts w:ascii="Arial" w:eastAsia="Times New Roman" w:hAnsi="Arial" w:cs="Arial"/>
          <w:sz w:val="24"/>
          <w:szCs w:val="24"/>
          <w:lang w:eastAsia="es-ES"/>
        </w:rPr>
        <w:t>Allied</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High</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Commission</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for</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Germany</w:t>
      </w:r>
      <w:proofErr w:type="spellEnd"/>
      <w:r w:rsidRPr="007C1C84">
        <w:rPr>
          <w:rFonts w:ascii="Arial" w:eastAsia="Times New Roman" w:hAnsi="Arial" w:cs="Arial"/>
          <w:sz w:val="24"/>
          <w:szCs w:val="24"/>
          <w:lang w:eastAsia="es-ES"/>
        </w:rPr>
        <w:t xml:space="preserve"> - Alta Comisión Aliada para Alemania).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El ITS tiene su base jurídica en los Acuerdos de Bonn. El 6 de junio de 1955, los gobiernos de Bélgica, Francia, República Federal de Alemania, Grecia, Israel, Italia, Luxemburgo, Holanda, Reino Unido y Estados Unidos firmaron un acuerdo para el establecimiento de una Comisión Internacional que supervisara el ITS.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Esa Comisión Internacional la conforman en la actualidad 11 estados parte. En su fundación, al ITS se le encomendó con la tarea de suministrar información sobre el paradero de los perseguidos por el régimen nacionalsocialista y reunir a las familias a quienes la guerra había separado. El ITS está bajo la dirección y gestión del Comité Internacional de la Cruz Roja. Su mantenimiento es con cargo al presupuesto federal de la República Federal de Alemania.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En Estados Unidos la autoridad depositaria de la copia digital de la base de datos del ITS y habilitada legalmente para extender certificaciones de su contenido es el </w:t>
      </w:r>
      <w:proofErr w:type="spellStart"/>
      <w:r w:rsidRPr="007C1C84">
        <w:rPr>
          <w:rFonts w:ascii="Arial" w:eastAsia="Times New Roman" w:hAnsi="Arial" w:cs="Arial"/>
          <w:sz w:val="24"/>
          <w:szCs w:val="24"/>
          <w:lang w:eastAsia="es-ES"/>
        </w:rPr>
        <w:t>United</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States</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Holocaust</w:t>
      </w:r>
      <w:proofErr w:type="spellEnd"/>
      <w:r w:rsidRPr="007C1C84">
        <w:rPr>
          <w:rFonts w:ascii="Arial" w:eastAsia="Times New Roman" w:hAnsi="Arial" w:cs="Arial"/>
          <w:sz w:val="24"/>
          <w:szCs w:val="24"/>
          <w:lang w:eastAsia="es-ES"/>
        </w:rPr>
        <w:t xml:space="preserve"> Memorial </w:t>
      </w:r>
      <w:proofErr w:type="spellStart"/>
      <w:r w:rsidRPr="007C1C84">
        <w:rPr>
          <w:rFonts w:ascii="Arial" w:eastAsia="Times New Roman" w:hAnsi="Arial" w:cs="Arial"/>
          <w:sz w:val="24"/>
          <w:szCs w:val="24"/>
          <w:lang w:eastAsia="es-ES"/>
        </w:rPr>
        <w:t>Museum</w:t>
      </w:r>
      <w:proofErr w:type="spellEnd"/>
      <w:r w:rsidRPr="007C1C84">
        <w:rPr>
          <w:rFonts w:ascii="Arial" w:eastAsia="Times New Roman" w:hAnsi="Arial" w:cs="Arial"/>
          <w:sz w:val="24"/>
          <w:szCs w:val="24"/>
          <w:lang w:eastAsia="es-ES"/>
        </w:rPr>
        <w:t xml:space="preserve"> (conocido como "Museo del Holocausto").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Éste es el origen de la documentación probatoria relativa a varias víctimas españolas que se adjunta como Documento No. 5 a la presente querella.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Cabe resaltar que el ITS lleva a cabo una intensa labor de preservación de los documentos originales y que la digitalización de los mismos permite su mejor protección.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Se adjunta igualmente, como Documento No. 6, un listado de víctimas españolas de este campo extraído de la base de datos que mantiene el archivo del Memorial y Museo de </w:t>
      </w:r>
      <w:proofErr w:type="spellStart"/>
      <w:r w:rsidRPr="007C1C84">
        <w:rPr>
          <w:rFonts w:ascii="Arial" w:eastAsia="Times New Roman" w:hAnsi="Arial" w:cs="Arial"/>
          <w:sz w:val="24"/>
          <w:szCs w:val="24"/>
          <w:lang w:eastAsia="es-ES"/>
        </w:rPr>
        <w:t>Sachsenhausen</w:t>
      </w:r>
      <w:proofErr w:type="spellEnd"/>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lastRenderedPageBreak/>
        <w:t xml:space="preserve">Como puede observarse, una parte importante de los españoles cuyo carácter de prisioneros en este campo se documenta, llegaron al campo de </w:t>
      </w:r>
      <w:proofErr w:type="spellStart"/>
      <w:r w:rsidRPr="007C1C84">
        <w:rPr>
          <w:rFonts w:ascii="Arial" w:eastAsia="Times New Roman" w:hAnsi="Arial" w:cs="Arial"/>
          <w:sz w:val="24"/>
          <w:szCs w:val="24"/>
          <w:lang w:eastAsia="es-ES"/>
        </w:rPr>
        <w:t>Sachsenhausen</w:t>
      </w:r>
      <w:proofErr w:type="spellEnd"/>
      <w:r w:rsidRPr="007C1C84">
        <w:rPr>
          <w:rFonts w:ascii="Arial" w:eastAsia="Times New Roman" w:hAnsi="Arial" w:cs="Arial"/>
          <w:sz w:val="24"/>
          <w:szCs w:val="24"/>
          <w:lang w:eastAsia="es-ES"/>
        </w:rPr>
        <w:t xml:space="preserve"> en convoyes de deportados procedente de la ciudad francesa de </w:t>
      </w:r>
      <w:proofErr w:type="spellStart"/>
      <w:r w:rsidRPr="007C1C84">
        <w:rPr>
          <w:rFonts w:ascii="Arial" w:eastAsia="Times New Roman" w:hAnsi="Arial" w:cs="Arial"/>
          <w:sz w:val="24"/>
          <w:szCs w:val="24"/>
          <w:lang w:eastAsia="es-ES"/>
        </w:rPr>
        <w:t>Compiègne</w:t>
      </w:r>
      <w:proofErr w:type="spellEnd"/>
      <w:r w:rsidRPr="007C1C84">
        <w:rPr>
          <w:rFonts w:ascii="Arial" w:eastAsia="Times New Roman" w:hAnsi="Arial" w:cs="Arial"/>
          <w:sz w:val="24"/>
          <w:szCs w:val="24"/>
          <w:lang w:eastAsia="es-ES"/>
        </w:rPr>
        <w:t xml:space="preserve">. En 1943, </w:t>
      </w:r>
      <w:proofErr w:type="spellStart"/>
      <w:r w:rsidRPr="007C1C84">
        <w:rPr>
          <w:rFonts w:ascii="Arial" w:eastAsia="Times New Roman" w:hAnsi="Arial" w:cs="Arial"/>
          <w:sz w:val="24"/>
          <w:szCs w:val="24"/>
          <w:lang w:eastAsia="es-ES"/>
        </w:rPr>
        <w:t>Sachsenhausen</w:t>
      </w:r>
      <w:proofErr w:type="spellEnd"/>
      <w:r w:rsidRPr="007C1C84">
        <w:rPr>
          <w:rFonts w:ascii="Arial" w:eastAsia="Times New Roman" w:hAnsi="Arial" w:cs="Arial"/>
          <w:sz w:val="24"/>
          <w:szCs w:val="24"/>
          <w:lang w:eastAsia="es-ES"/>
        </w:rPr>
        <w:t xml:space="preserve"> es el primer campo de concentración en recibir un número importante de deportados de Francia, en el marco del nuevo instrumento represivo empleado por los nacionalsocialistas en territorio ocupado: la deportación de oponentes a la ocupación alemana mediante convoyes masivos. 1943 comienza con la puesta en marcha de la llamada operación </w:t>
      </w:r>
      <w:proofErr w:type="spellStart"/>
      <w:r w:rsidRPr="007C1C84">
        <w:rPr>
          <w:rFonts w:ascii="Arial" w:eastAsia="Times New Roman" w:hAnsi="Arial" w:cs="Arial"/>
          <w:i/>
          <w:iCs/>
          <w:sz w:val="24"/>
          <w:szCs w:val="24"/>
          <w:lang w:eastAsia="es-ES"/>
        </w:rPr>
        <w:t>Meerschaum</w:t>
      </w:r>
      <w:proofErr w:type="spellEnd"/>
      <w:r w:rsidRPr="007C1C84">
        <w:rPr>
          <w:rFonts w:ascii="Arial" w:eastAsia="Times New Roman" w:hAnsi="Arial" w:cs="Arial"/>
          <w:sz w:val="24"/>
          <w:szCs w:val="24"/>
          <w:lang w:eastAsia="es-ES"/>
        </w:rPr>
        <w:t xml:space="preserve">, en aplicación de la orden de </w:t>
      </w:r>
      <w:proofErr w:type="spellStart"/>
      <w:r w:rsidRPr="007C1C84">
        <w:rPr>
          <w:rFonts w:ascii="Arial" w:eastAsia="Times New Roman" w:hAnsi="Arial" w:cs="Arial"/>
          <w:sz w:val="24"/>
          <w:szCs w:val="24"/>
          <w:lang w:eastAsia="es-ES"/>
        </w:rPr>
        <w:t>Himmler</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i/>
          <w:iCs/>
          <w:sz w:val="24"/>
          <w:szCs w:val="24"/>
          <w:lang w:eastAsia="es-ES"/>
        </w:rPr>
        <w:t>Reichsführer</w:t>
      </w:r>
      <w:proofErr w:type="spellEnd"/>
      <w:r w:rsidRPr="007C1C84">
        <w:rPr>
          <w:rFonts w:ascii="Arial" w:eastAsia="Times New Roman" w:hAnsi="Arial" w:cs="Arial"/>
          <w:i/>
          <w:iCs/>
          <w:sz w:val="24"/>
          <w:szCs w:val="24"/>
          <w:lang w:eastAsia="es-ES"/>
        </w:rPr>
        <w:t>-SS</w:t>
      </w:r>
      <w:r w:rsidRPr="007C1C84">
        <w:rPr>
          <w:rFonts w:ascii="Arial" w:eastAsia="Times New Roman" w:hAnsi="Arial" w:cs="Arial"/>
          <w:sz w:val="24"/>
          <w:szCs w:val="24"/>
          <w:lang w:eastAsia="es-ES"/>
        </w:rPr>
        <w:t xml:space="preserve"> y Jefe de la Policía Alemana, de llevar a cabo traslados masivos a campos de concentración , una directiva que obedecía a motivos de orden económico también. El </w:t>
      </w:r>
      <w:proofErr w:type="spellStart"/>
      <w:r w:rsidRPr="007C1C84">
        <w:rPr>
          <w:rFonts w:ascii="Arial" w:eastAsia="Times New Roman" w:hAnsi="Arial" w:cs="Arial"/>
          <w:i/>
          <w:iCs/>
          <w:sz w:val="24"/>
          <w:szCs w:val="24"/>
          <w:lang w:eastAsia="es-ES"/>
        </w:rPr>
        <w:t>Frontstalag</w:t>
      </w:r>
      <w:proofErr w:type="spellEnd"/>
      <w:r w:rsidRPr="007C1C84">
        <w:rPr>
          <w:rFonts w:ascii="Arial" w:eastAsia="Times New Roman" w:hAnsi="Arial" w:cs="Arial"/>
          <w:i/>
          <w:iCs/>
          <w:sz w:val="24"/>
          <w:szCs w:val="24"/>
          <w:lang w:eastAsia="es-ES"/>
        </w:rPr>
        <w:t xml:space="preserve"> 122</w:t>
      </w:r>
      <w:r w:rsidRPr="007C1C84">
        <w:rPr>
          <w:rFonts w:ascii="Arial" w:eastAsia="Times New Roman" w:hAnsi="Arial" w:cs="Arial"/>
          <w:sz w:val="24"/>
          <w:szCs w:val="24"/>
          <w:lang w:eastAsia="es-ES"/>
        </w:rPr>
        <w:t xml:space="preserve"> de </w:t>
      </w:r>
      <w:proofErr w:type="spellStart"/>
      <w:r w:rsidRPr="007C1C84">
        <w:rPr>
          <w:rFonts w:ascii="Arial" w:eastAsia="Times New Roman" w:hAnsi="Arial" w:cs="Arial"/>
          <w:sz w:val="24"/>
          <w:szCs w:val="24"/>
          <w:lang w:eastAsia="es-ES"/>
        </w:rPr>
        <w:t>Royallieu</w:t>
      </w:r>
      <w:proofErr w:type="spellEnd"/>
      <w:r w:rsidRPr="007C1C84">
        <w:rPr>
          <w:rFonts w:ascii="Arial" w:eastAsia="Times New Roman" w:hAnsi="Arial" w:cs="Arial"/>
          <w:sz w:val="24"/>
          <w:szCs w:val="24"/>
          <w:lang w:eastAsia="es-ES"/>
        </w:rPr>
        <w:t xml:space="preserve"> en </w:t>
      </w:r>
      <w:proofErr w:type="spellStart"/>
      <w:r w:rsidRPr="007C1C84">
        <w:rPr>
          <w:rFonts w:ascii="Arial" w:eastAsia="Times New Roman" w:hAnsi="Arial" w:cs="Arial"/>
          <w:sz w:val="24"/>
          <w:szCs w:val="24"/>
          <w:lang w:eastAsia="es-ES"/>
        </w:rPr>
        <w:t>Compiègne</w:t>
      </w:r>
      <w:proofErr w:type="spellEnd"/>
      <w:r w:rsidRPr="007C1C84">
        <w:rPr>
          <w:rFonts w:ascii="Arial" w:eastAsia="Times New Roman" w:hAnsi="Arial" w:cs="Arial"/>
          <w:sz w:val="24"/>
          <w:szCs w:val="24"/>
          <w:lang w:eastAsia="es-ES"/>
        </w:rPr>
        <w:t xml:space="preserve"> (Oise) se convierte en el lugar de concentración de las víctimas de la </w:t>
      </w:r>
      <w:proofErr w:type="spellStart"/>
      <w:r w:rsidRPr="007C1C84">
        <w:rPr>
          <w:rFonts w:ascii="Arial" w:eastAsia="Times New Roman" w:hAnsi="Arial" w:cs="Arial"/>
          <w:i/>
          <w:iCs/>
          <w:sz w:val="24"/>
          <w:szCs w:val="24"/>
          <w:lang w:eastAsia="es-ES"/>
        </w:rPr>
        <w:t>Schutzhaft</w:t>
      </w:r>
      <w:proofErr w:type="spellEnd"/>
      <w:r w:rsidRPr="007C1C84">
        <w:rPr>
          <w:rFonts w:ascii="Arial" w:eastAsia="Times New Roman" w:hAnsi="Arial" w:cs="Arial"/>
          <w:sz w:val="24"/>
          <w:szCs w:val="24"/>
          <w:lang w:eastAsia="es-ES"/>
        </w:rPr>
        <w:t xml:space="preserve">, que son deportadas hacia los campos de concentración del Gran </w:t>
      </w:r>
      <w:proofErr w:type="spellStart"/>
      <w:r w:rsidRPr="007C1C84">
        <w:rPr>
          <w:rFonts w:ascii="Arial" w:eastAsia="Times New Roman" w:hAnsi="Arial" w:cs="Arial"/>
          <w:i/>
          <w:iCs/>
          <w:sz w:val="24"/>
          <w:szCs w:val="24"/>
          <w:lang w:eastAsia="es-ES"/>
        </w:rPr>
        <w:t>Reich</w:t>
      </w:r>
      <w:proofErr w:type="spellEnd"/>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A partir del 24 de enero de 1943 se organiza un primer convoy que parte de la estación de </w:t>
      </w:r>
      <w:proofErr w:type="spellStart"/>
      <w:r w:rsidRPr="007C1C84">
        <w:rPr>
          <w:rFonts w:ascii="Arial" w:eastAsia="Times New Roman" w:hAnsi="Arial" w:cs="Arial"/>
          <w:sz w:val="24"/>
          <w:szCs w:val="24"/>
          <w:lang w:eastAsia="es-ES"/>
        </w:rPr>
        <w:t>Compiègne</w:t>
      </w:r>
      <w:proofErr w:type="spellEnd"/>
      <w:r w:rsidRPr="007C1C84">
        <w:rPr>
          <w:rFonts w:ascii="Arial" w:eastAsia="Times New Roman" w:hAnsi="Arial" w:cs="Arial"/>
          <w:sz w:val="24"/>
          <w:szCs w:val="24"/>
          <w:lang w:eastAsia="es-ES"/>
        </w:rPr>
        <w:t xml:space="preserve">. Parte de las personas que iban en ese convoy son registradas al día siguiente en el campo de concentración de </w:t>
      </w:r>
      <w:proofErr w:type="spellStart"/>
      <w:r w:rsidRPr="007C1C84">
        <w:rPr>
          <w:rFonts w:ascii="Arial" w:eastAsia="Times New Roman" w:hAnsi="Arial" w:cs="Arial"/>
          <w:sz w:val="24"/>
          <w:szCs w:val="24"/>
          <w:lang w:eastAsia="es-ES"/>
        </w:rPr>
        <w:t>Sachsenhausen</w:t>
      </w:r>
      <w:proofErr w:type="spellEnd"/>
      <w:r w:rsidRPr="007C1C84">
        <w:rPr>
          <w:rFonts w:ascii="Arial" w:eastAsia="Times New Roman" w:hAnsi="Arial" w:cs="Arial"/>
          <w:sz w:val="24"/>
          <w:szCs w:val="24"/>
          <w:lang w:eastAsia="es-ES"/>
        </w:rPr>
        <w:t xml:space="preserve">. Como puede observarse por las fecha de llegada al campo, varios nacionales españoles son registrados el 25 de enero de 1943. Hubo dos convoyes desde ese mismo lugar y hacia </w:t>
      </w:r>
      <w:proofErr w:type="spellStart"/>
      <w:r w:rsidRPr="007C1C84">
        <w:rPr>
          <w:rFonts w:ascii="Arial" w:eastAsia="Times New Roman" w:hAnsi="Arial" w:cs="Arial"/>
          <w:sz w:val="24"/>
          <w:szCs w:val="24"/>
          <w:lang w:eastAsia="es-ES"/>
        </w:rPr>
        <w:t>Sachsenhausen</w:t>
      </w:r>
      <w:proofErr w:type="spellEnd"/>
      <w:r w:rsidRPr="007C1C84">
        <w:rPr>
          <w:rFonts w:ascii="Arial" w:eastAsia="Times New Roman" w:hAnsi="Arial" w:cs="Arial"/>
          <w:sz w:val="24"/>
          <w:szCs w:val="24"/>
          <w:lang w:eastAsia="es-ES"/>
        </w:rPr>
        <w:t xml:space="preserve"> en fechas cercanas: 28 de abril y 8 de mayo de 1943.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b/>
          <w:bCs/>
          <w:sz w:val="24"/>
          <w:szCs w:val="24"/>
          <w:lang w:eastAsia="es-ES"/>
        </w:rPr>
        <w:t xml:space="preserve">La existencia de víctimas españolas en el KL de </w:t>
      </w:r>
      <w:proofErr w:type="spellStart"/>
      <w:r w:rsidRPr="007C1C84">
        <w:rPr>
          <w:rFonts w:ascii="Arial" w:eastAsia="Times New Roman" w:hAnsi="Arial" w:cs="Arial"/>
          <w:b/>
          <w:bCs/>
          <w:sz w:val="24"/>
          <w:szCs w:val="24"/>
          <w:lang w:eastAsia="es-ES"/>
        </w:rPr>
        <w:t>Flossenbürg</w:t>
      </w:r>
      <w:proofErr w:type="spellEnd"/>
      <w:r w:rsidRPr="007C1C84">
        <w:rPr>
          <w:rFonts w:ascii="Arial" w:eastAsia="Times New Roman" w:hAnsi="Arial" w:cs="Arial"/>
          <w:b/>
          <w:bCs/>
          <w:sz w:val="24"/>
          <w:szCs w:val="24"/>
          <w:lang w:eastAsia="es-ES"/>
        </w:rPr>
        <w:t>.</w:t>
      </w:r>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7C1C84">
        <w:rPr>
          <w:rFonts w:ascii="Arial" w:eastAsia="Times New Roman" w:hAnsi="Arial" w:cs="Arial"/>
          <w:sz w:val="24"/>
          <w:szCs w:val="24"/>
          <w:lang w:eastAsia="es-ES"/>
        </w:rPr>
        <w:t>Flossenburg</w:t>
      </w:r>
      <w:proofErr w:type="spellEnd"/>
      <w:r w:rsidRPr="007C1C84">
        <w:rPr>
          <w:rFonts w:ascii="Arial" w:eastAsia="Times New Roman" w:hAnsi="Arial" w:cs="Arial"/>
          <w:sz w:val="24"/>
          <w:szCs w:val="24"/>
          <w:lang w:eastAsia="es-ES"/>
        </w:rPr>
        <w:t xml:space="preserve">, según la sentencia del Tribunal estadounidense que condenó a los principales responsables del funcionamiento de este campo en 1947, en era un campo perteneciente a la Clase III. Durante el período comprendido entre 1942 y abril de 1945 el campo albergó a aproximadamente 94.200 prisioneros, de los cuales 16.000 eran mujeres. Entre los miles de prisioneros recluidos en el campo principal y en los numerosos campos externos había ciudadanos rusos, polacos, franceses, checos, italianos, griegos, españoles, daneses, noruegos, británicos, canadienses y estadounidenses.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La </w:t>
      </w:r>
      <w:proofErr w:type="spellStart"/>
      <w:r w:rsidRPr="007C1C84">
        <w:rPr>
          <w:rFonts w:ascii="Arial" w:eastAsia="Times New Roman" w:hAnsi="Arial" w:cs="Arial"/>
          <w:sz w:val="24"/>
          <w:szCs w:val="24"/>
          <w:lang w:eastAsia="es-ES"/>
        </w:rPr>
        <w:t>informacióncorrespondiente</w:t>
      </w:r>
      <w:proofErr w:type="spellEnd"/>
      <w:r w:rsidRPr="007C1C84">
        <w:rPr>
          <w:rFonts w:ascii="Arial" w:eastAsia="Times New Roman" w:hAnsi="Arial" w:cs="Arial"/>
          <w:sz w:val="24"/>
          <w:szCs w:val="24"/>
          <w:lang w:eastAsia="es-ES"/>
        </w:rPr>
        <w:t xml:space="preserve"> a los registros de prisioneros se halla disponible también a través del International </w:t>
      </w:r>
      <w:proofErr w:type="spellStart"/>
      <w:r w:rsidRPr="007C1C84">
        <w:rPr>
          <w:rFonts w:ascii="Arial" w:eastAsia="Times New Roman" w:hAnsi="Arial" w:cs="Arial"/>
          <w:sz w:val="24"/>
          <w:szCs w:val="24"/>
          <w:lang w:eastAsia="es-ES"/>
        </w:rPr>
        <w:t>Tracing</w:t>
      </w:r>
      <w:proofErr w:type="spellEnd"/>
      <w:r w:rsidRPr="007C1C84">
        <w:rPr>
          <w:rFonts w:ascii="Arial" w:eastAsia="Times New Roman" w:hAnsi="Arial" w:cs="Arial"/>
          <w:sz w:val="24"/>
          <w:szCs w:val="24"/>
          <w:lang w:eastAsia="es-ES"/>
        </w:rPr>
        <w:t xml:space="preserve"> </w:t>
      </w:r>
      <w:proofErr w:type="spellStart"/>
      <w:r w:rsidRPr="007C1C84">
        <w:rPr>
          <w:rFonts w:ascii="Arial" w:eastAsia="Times New Roman" w:hAnsi="Arial" w:cs="Arial"/>
          <w:sz w:val="24"/>
          <w:szCs w:val="24"/>
          <w:lang w:eastAsia="es-ES"/>
        </w:rPr>
        <w:t>Service</w:t>
      </w:r>
      <w:proofErr w:type="spellEnd"/>
      <w:r w:rsidRPr="007C1C84">
        <w:rPr>
          <w:rFonts w:ascii="Arial" w:eastAsia="Times New Roman" w:hAnsi="Arial" w:cs="Arial"/>
          <w:sz w:val="24"/>
          <w:szCs w:val="24"/>
          <w:lang w:eastAsia="es-ES"/>
        </w:rPr>
        <w:t xml:space="preserve">.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Según una tabulación estadounidense de después de la guerra, presentada en el marco de los procesos de </w:t>
      </w:r>
      <w:proofErr w:type="spellStart"/>
      <w:r w:rsidRPr="007C1C84">
        <w:rPr>
          <w:rFonts w:ascii="Arial" w:eastAsia="Times New Roman" w:hAnsi="Arial" w:cs="Arial"/>
          <w:sz w:val="24"/>
          <w:szCs w:val="24"/>
          <w:lang w:eastAsia="es-ES"/>
        </w:rPr>
        <w:t>Nuremberg</w:t>
      </w:r>
      <w:proofErr w:type="spellEnd"/>
      <w:r w:rsidRPr="007C1C84">
        <w:rPr>
          <w:rFonts w:ascii="Arial" w:eastAsia="Times New Roman" w:hAnsi="Arial" w:cs="Arial"/>
          <w:sz w:val="24"/>
          <w:szCs w:val="24"/>
          <w:lang w:eastAsia="es-ES"/>
        </w:rPr>
        <w:t xml:space="preserve">, hubo 155 españoles en </w:t>
      </w:r>
      <w:proofErr w:type="spellStart"/>
      <w:r w:rsidRPr="007C1C84">
        <w:rPr>
          <w:rFonts w:ascii="Arial" w:eastAsia="Times New Roman" w:hAnsi="Arial" w:cs="Arial"/>
          <w:sz w:val="24"/>
          <w:szCs w:val="24"/>
          <w:lang w:eastAsia="es-ES"/>
        </w:rPr>
        <w:t>Flossenbürg</w:t>
      </w:r>
      <w:proofErr w:type="spellEnd"/>
      <w:r w:rsidRPr="007C1C84">
        <w:rPr>
          <w:rFonts w:ascii="Arial" w:eastAsia="Times New Roman" w:hAnsi="Arial" w:cs="Arial"/>
          <w:sz w:val="24"/>
          <w:szCs w:val="24"/>
          <w:lang w:eastAsia="es-ES"/>
        </w:rPr>
        <w:t xml:space="preserve">, de los cuales murieron al menos 60. </w:t>
      </w:r>
    </w:p>
    <w:p w:rsidR="007C1C84" w:rsidRPr="007C1C84" w:rsidRDefault="007C1C84" w:rsidP="007C1C84">
      <w:pPr>
        <w:spacing w:before="100" w:beforeAutospacing="1" w:after="100" w:afterAutospacing="1" w:line="240" w:lineRule="auto"/>
        <w:rPr>
          <w:rFonts w:ascii="Times New Roman" w:eastAsia="Times New Roman" w:hAnsi="Times New Roman" w:cs="Times New Roman"/>
          <w:sz w:val="24"/>
          <w:szCs w:val="24"/>
          <w:lang w:eastAsia="es-ES"/>
        </w:rPr>
      </w:pPr>
      <w:r w:rsidRPr="007C1C84">
        <w:rPr>
          <w:rFonts w:ascii="Arial" w:eastAsia="Times New Roman" w:hAnsi="Arial" w:cs="Arial"/>
          <w:sz w:val="24"/>
          <w:szCs w:val="24"/>
          <w:lang w:eastAsia="es-ES"/>
        </w:rPr>
        <w:t xml:space="preserve">La documentación probatoria de la existencia de víctimas españolas en este campo se aportará en ulterior momento. </w:t>
      </w:r>
    </w:p>
    <w:p w:rsidR="008E7D8C" w:rsidRDefault="00400E7A">
      <w:r>
        <w:t xml:space="preserve"> Sentencia penal. </w:t>
      </w:r>
      <w:r w:rsidR="007C1C84" w:rsidRPr="007C1C84">
        <w:t>http://www.derechos.org/nizkor/espana/doc/querella.html</w:t>
      </w:r>
    </w:p>
    <w:sectPr w:rsidR="008E7D8C" w:rsidSect="008E7D8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A41EE"/>
    <w:multiLevelType w:val="multilevel"/>
    <w:tmpl w:val="07325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1C84"/>
    <w:rsid w:val="00400E7A"/>
    <w:rsid w:val="007C1C84"/>
    <w:rsid w:val="008E7D8C"/>
    <w:rsid w:val="00DF7B8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D8C"/>
  </w:style>
  <w:style w:type="paragraph" w:styleId="Ttulo2">
    <w:name w:val="heading 2"/>
    <w:basedOn w:val="Normal"/>
    <w:link w:val="Ttulo2Car"/>
    <w:uiPriority w:val="9"/>
    <w:qFormat/>
    <w:rsid w:val="007C1C84"/>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7C1C84"/>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C1C84"/>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7C1C84"/>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7C1C8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7C1C84"/>
    <w:rPr>
      <w:color w:val="0000FF"/>
      <w:u w:val="single"/>
    </w:rPr>
  </w:style>
</w:styles>
</file>

<file path=word/webSettings.xml><?xml version="1.0" encoding="utf-8"?>
<w:webSettings xmlns:r="http://schemas.openxmlformats.org/officeDocument/2006/relationships" xmlns:w="http://schemas.openxmlformats.org/wordprocessingml/2006/main">
  <w:divs>
    <w:div w:id="52351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rechos.org/nizkor/espana/doc/querella.html" TargetMode="External"/><Relationship Id="rId13" Type="http://schemas.openxmlformats.org/officeDocument/2006/relationships/hyperlink" Target="http://www.derechos.org/nizkor/espana/doc/querella.html" TargetMode="External"/><Relationship Id="rId18" Type="http://schemas.openxmlformats.org/officeDocument/2006/relationships/hyperlink" Target="http://www.derechos.org/nizkor/espana/doc/querella.html" TargetMode="External"/><Relationship Id="rId26" Type="http://schemas.openxmlformats.org/officeDocument/2006/relationships/hyperlink" Target="http://www.derechos.org/nizkor/espana/doc/querella.html" TargetMode="External"/><Relationship Id="rId39" Type="http://schemas.openxmlformats.org/officeDocument/2006/relationships/hyperlink" Target="http://www.derechos.org/nizkor/espana/doc/querella.html" TargetMode="External"/><Relationship Id="rId3" Type="http://schemas.openxmlformats.org/officeDocument/2006/relationships/settings" Target="settings.xml"/><Relationship Id="rId21" Type="http://schemas.openxmlformats.org/officeDocument/2006/relationships/hyperlink" Target="http://www.derechos.org/nizkor/espana/doc/querella.html" TargetMode="External"/><Relationship Id="rId34" Type="http://schemas.openxmlformats.org/officeDocument/2006/relationships/hyperlink" Target="http://www.derechos.org/nizkor/espana/doc/querella.html" TargetMode="External"/><Relationship Id="rId42" Type="http://schemas.openxmlformats.org/officeDocument/2006/relationships/theme" Target="theme/theme1.xml"/><Relationship Id="rId7" Type="http://schemas.openxmlformats.org/officeDocument/2006/relationships/hyperlink" Target="http://www.derechos.org/nizkor/espana/doc/querella.html" TargetMode="External"/><Relationship Id="rId12" Type="http://schemas.openxmlformats.org/officeDocument/2006/relationships/hyperlink" Target="http://www.derechos.org/nizkor/espana/doc/querella.html" TargetMode="External"/><Relationship Id="rId17" Type="http://schemas.openxmlformats.org/officeDocument/2006/relationships/hyperlink" Target="http://www.derechos.org/nizkor/espana/doc/querella.html" TargetMode="External"/><Relationship Id="rId25" Type="http://schemas.openxmlformats.org/officeDocument/2006/relationships/hyperlink" Target="http://www.derechos.org/nizkor/espana/doc/querella.html" TargetMode="External"/><Relationship Id="rId33" Type="http://schemas.openxmlformats.org/officeDocument/2006/relationships/hyperlink" Target="http://www.derechos.org/nizkor/espana/doc/querella.html" TargetMode="External"/><Relationship Id="rId38" Type="http://schemas.openxmlformats.org/officeDocument/2006/relationships/hyperlink" Target="http://www.derechos.org/nizkor/espana/doc/querella.html" TargetMode="External"/><Relationship Id="rId2" Type="http://schemas.openxmlformats.org/officeDocument/2006/relationships/styles" Target="styles.xml"/><Relationship Id="rId16" Type="http://schemas.openxmlformats.org/officeDocument/2006/relationships/hyperlink" Target="http://www.derechos.org/nizkor/espana/doc/querella.html" TargetMode="External"/><Relationship Id="rId20" Type="http://schemas.openxmlformats.org/officeDocument/2006/relationships/hyperlink" Target="http://www.derechos.org/nizkor/espana/doc/querella.html" TargetMode="External"/><Relationship Id="rId29" Type="http://schemas.openxmlformats.org/officeDocument/2006/relationships/hyperlink" Target="http://www.derechos.org/nizkor/espana/doc/querella.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derechos.org/nizkor/espana/doc/querella.html" TargetMode="External"/><Relationship Id="rId11" Type="http://schemas.openxmlformats.org/officeDocument/2006/relationships/hyperlink" Target="http://www.derechos.org/nizkor/espana/doc/querella.html" TargetMode="External"/><Relationship Id="rId24" Type="http://schemas.openxmlformats.org/officeDocument/2006/relationships/hyperlink" Target="http://www.derechos.org/nizkor/espana/doc/querella.html" TargetMode="External"/><Relationship Id="rId32" Type="http://schemas.openxmlformats.org/officeDocument/2006/relationships/hyperlink" Target="http://www.derechos.org/nizkor/espana/doc/querella.html" TargetMode="External"/><Relationship Id="rId37" Type="http://schemas.openxmlformats.org/officeDocument/2006/relationships/hyperlink" Target="http://www.derechos.org/nizkor/espana/doc/querella.html" TargetMode="External"/><Relationship Id="rId40" Type="http://schemas.openxmlformats.org/officeDocument/2006/relationships/hyperlink" Target="http://www.derechos.org/nizkor/espana/doc/querella.html" TargetMode="External"/><Relationship Id="rId5" Type="http://schemas.openxmlformats.org/officeDocument/2006/relationships/hyperlink" Target="http://www.derechos.org/nizkor/espana/doc/querella.html" TargetMode="External"/><Relationship Id="rId15" Type="http://schemas.openxmlformats.org/officeDocument/2006/relationships/hyperlink" Target="http://www.derechos.org/nizkor/espana/doc/querella.html" TargetMode="External"/><Relationship Id="rId23" Type="http://schemas.openxmlformats.org/officeDocument/2006/relationships/hyperlink" Target="http://www.derechos.org/nizkor/espana/doc/querella.html" TargetMode="External"/><Relationship Id="rId28" Type="http://schemas.openxmlformats.org/officeDocument/2006/relationships/hyperlink" Target="http://www.derechos.org/nizkor/espana/doc/querella.html" TargetMode="External"/><Relationship Id="rId36" Type="http://schemas.openxmlformats.org/officeDocument/2006/relationships/hyperlink" Target="http://www.derechos.org/nizkor/espana/doc/querella.html" TargetMode="External"/><Relationship Id="rId10" Type="http://schemas.openxmlformats.org/officeDocument/2006/relationships/hyperlink" Target="http://www.derechos.org/nizkor/espana/doc/querella.html" TargetMode="External"/><Relationship Id="rId19" Type="http://schemas.openxmlformats.org/officeDocument/2006/relationships/hyperlink" Target="http://www.derechos.org/nizkor/espana/doc/querella.html" TargetMode="External"/><Relationship Id="rId31" Type="http://schemas.openxmlformats.org/officeDocument/2006/relationships/hyperlink" Target="http://www.derechos.org/nizkor/espana/doc/querella.html" TargetMode="External"/><Relationship Id="rId4" Type="http://schemas.openxmlformats.org/officeDocument/2006/relationships/webSettings" Target="webSettings.xml"/><Relationship Id="rId9" Type="http://schemas.openxmlformats.org/officeDocument/2006/relationships/hyperlink" Target="http://www.derechos.org/nizkor/espana/doc/querella.html" TargetMode="External"/><Relationship Id="rId14" Type="http://schemas.openxmlformats.org/officeDocument/2006/relationships/hyperlink" Target="http://www.derechos.org/nizkor/espana/doc/querella.html" TargetMode="External"/><Relationship Id="rId22" Type="http://schemas.openxmlformats.org/officeDocument/2006/relationships/hyperlink" Target="http://www.derechos.org/nizkor/espana/doc/querella.html" TargetMode="External"/><Relationship Id="rId27" Type="http://schemas.openxmlformats.org/officeDocument/2006/relationships/hyperlink" Target="http://www.derechos.org/nizkor/espana/doc/querella.html" TargetMode="External"/><Relationship Id="rId30" Type="http://schemas.openxmlformats.org/officeDocument/2006/relationships/hyperlink" Target="http://www.derechos.org/nizkor/espana/doc/querella.html" TargetMode="External"/><Relationship Id="rId35" Type="http://schemas.openxmlformats.org/officeDocument/2006/relationships/hyperlink" Target="http://www.derechos.org/nizkor/espana/doc/querella.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2831</Words>
  <Characters>15571</Characters>
  <Application>Microsoft Office Word</Application>
  <DocSecurity>0</DocSecurity>
  <Lines>129</Lines>
  <Paragraphs>36</Paragraphs>
  <ScaleCrop>false</ScaleCrop>
  <Company>Mobile</Company>
  <LinksUpToDate>false</LinksUpToDate>
  <CharactersWithSpaces>18366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3</cp:revision>
  <dcterms:created xsi:type="dcterms:W3CDTF">2010-01-23T00:13:00Z</dcterms:created>
  <dcterms:modified xsi:type="dcterms:W3CDTF">2010-01-23T21:46:00Z</dcterms:modified>
</cp:coreProperties>
</file>